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AEBBE" w14:textId="77777777" w:rsidR="00D944A4" w:rsidRPr="006D6FC6" w:rsidRDefault="008B3EA1" w:rsidP="006D6FC6">
      <w:pPr>
        <w:pStyle w:val="BATitle"/>
        <w:spacing w:beforeLines="100" w:before="240" w:afterLines="100" w:after="240" w:line="360" w:lineRule="auto"/>
        <w:jc w:val="left"/>
        <w:rPr>
          <w:b/>
          <w:sz w:val="28"/>
          <w:szCs w:val="28"/>
        </w:rPr>
      </w:pPr>
      <w:bookmarkStart w:id="0" w:name="OLE_LINK10"/>
      <w:r w:rsidRPr="006D6FC6">
        <w:rPr>
          <w:b/>
          <w:sz w:val="28"/>
          <w:szCs w:val="28"/>
        </w:rPr>
        <w:t xml:space="preserve">Asymmetric Side-Groups Engineering of Nonfused Ring Electron Acceptors for High-Efficiency Thick-film Organic Solar Cells </w:t>
      </w:r>
      <w:r w:rsidR="00ED05B9" w:rsidRPr="006D6FC6">
        <w:rPr>
          <w:rFonts w:hint="eastAsia"/>
          <w:b/>
          <w:sz w:val="28"/>
          <w:szCs w:val="28"/>
        </w:rPr>
        <w:t xml:space="preserve"> </w:t>
      </w:r>
    </w:p>
    <w:p w14:paraId="70046445" w14:textId="651D5D45" w:rsidR="00D944A4" w:rsidRPr="006D6FC6" w:rsidRDefault="008B3EA1" w:rsidP="006D6FC6">
      <w:pPr>
        <w:pStyle w:val="AuthorsFull"/>
        <w:spacing w:beforeLines="100" w:before="240" w:afterLines="100" w:after="240" w:line="360" w:lineRule="auto"/>
        <w:rPr>
          <w:i w:val="0"/>
        </w:rPr>
      </w:pPr>
      <w:r w:rsidRPr="006D6FC6">
        <w:rPr>
          <w:i w:val="0"/>
        </w:rPr>
        <w:t>Dawei Li</w:t>
      </w:r>
      <w:r w:rsidRPr="006D6FC6">
        <w:rPr>
          <w:i w:val="0"/>
          <w:vertAlign w:val="superscript"/>
        </w:rPr>
        <w:t>1†</w:t>
      </w:r>
      <w:r w:rsidRPr="006D6FC6">
        <w:rPr>
          <w:i w:val="0"/>
        </w:rPr>
        <w:t>, Nan Wei</w:t>
      </w:r>
      <w:r w:rsidRPr="006D6FC6">
        <w:rPr>
          <w:i w:val="0"/>
          <w:vertAlign w:val="superscript"/>
        </w:rPr>
        <w:t>1†</w:t>
      </w:r>
      <w:r w:rsidRPr="006D6FC6">
        <w:rPr>
          <w:i w:val="0"/>
        </w:rPr>
        <w:t>, Ya-Nan Chen</w:t>
      </w:r>
      <w:r w:rsidRPr="006D6FC6">
        <w:rPr>
          <w:i w:val="0"/>
          <w:vertAlign w:val="superscript"/>
        </w:rPr>
        <w:t>2</w:t>
      </w:r>
      <w:r w:rsidRPr="006D6FC6">
        <w:rPr>
          <w:i w:val="0"/>
        </w:rPr>
        <w:t>, Xiaodong Wang</w:t>
      </w:r>
      <w:r w:rsidRPr="006D6FC6">
        <w:rPr>
          <w:i w:val="0"/>
          <w:vertAlign w:val="superscript"/>
        </w:rPr>
        <w:t>2</w:t>
      </w:r>
      <w:r w:rsidRPr="006D6FC6">
        <w:rPr>
          <w:i w:val="0"/>
        </w:rPr>
        <w:t>, Xu Han</w:t>
      </w:r>
      <w:r w:rsidRPr="006D6FC6">
        <w:rPr>
          <w:i w:val="0"/>
          <w:vertAlign w:val="superscript"/>
        </w:rPr>
        <w:t>4</w:t>
      </w:r>
      <w:r w:rsidRPr="006D6FC6">
        <w:rPr>
          <w:i w:val="0"/>
        </w:rPr>
        <w:t>, Ziqing Bian</w:t>
      </w:r>
      <w:r w:rsidRPr="006D6FC6">
        <w:rPr>
          <w:i w:val="0"/>
          <w:vertAlign w:val="superscript"/>
        </w:rPr>
        <w:t>1</w:t>
      </w:r>
      <w:r w:rsidRPr="006D6FC6">
        <w:rPr>
          <w:i w:val="0"/>
        </w:rPr>
        <w:t>, Xinyuan Zhang</w:t>
      </w:r>
      <w:r w:rsidRPr="006D6FC6">
        <w:rPr>
          <w:i w:val="0"/>
          <w:vertAlign w:val="superscript"/>
        </w:rPr>
        <w:t>1</w:t>
      </w:r>
      <w:r w:rsidRPr="006D6FC6">
        <w:rPr>
          <w:i w:val="0"/>
        </w:rPr>
        <w:t>, Zhe Zhang</w:t>
      </w:r>
      <w:r w:rsidRPr="006D6FC6">
        <w:rPr>
          <w:i w:val="0"/>
          <w:vertAlign w:val="superscript"/>
        </w:rPr>
        <w:t>5</w:t>
      </w:r>
      <w:r w:rsidRPr="006D6FC6">
        <w:rPr>
          <w:i w:val="0"/>
        </w:rPr>
        <w:t>, Wenkai Zhang</w:t>
      </w:r>
      <w:r w:rsidRPr="006D6FC6">
        <w:rPr>
          <w:i w:val="0"/>
          <w:vertAlign w:val="superscript"/>
        </w:rPr>
        <w:t>4</w:t>
      </w:r>
      <w:r w:rsidRPr="006D6FC6">
        <w:rPr>
          <w:i w:val="0"/>
        </w:rPr>
        <w:t>, Xinjun Xu</w:t>
      </w:r>
      <w:r w:rsidRPr="006D6FC6">
        <w:rPr>
          <w:i w:val="0"/>
          <w:vertAlign w:val="superscript"/>
        </w:rPr>
        <w:t>1</w:t>
      </w:r>
      <w:r w:rsidRPr="006D6FC6">
        <w:rPr>
          <w:i w:val="0"/>
        </w:rPr>
        <w:t>, Cuihong Li</w:t>
      </w:r>
      <w:r w:rsidRPr="006D6FC6">
        <w:rPr>
          <w:i w:val="0"/>
          <w:vertAlign w:val="superscript"/>
        </w:rPr>
        <w:t xml:space="preserve">1 </w:t>
      </w:r>
      <w:r w:rsidRPr="006D6FC6">
        <w:rPr>
          <w:i w:val="0"/>
        </w:rPr>
        <w:t>*, Yahui Liu</w:t>
      </w:r>
      <w:r w:rsidRPr="006D6FC6">
        <w:rPr>
          <w:i w:val="0"/>
          <w:vertAlign w:val="superscript"/>
        </w:rPr>
        <w:t xml:space="preserve">2 </w:t>
      </w:r>
      <w:r w:rsidRPr="006D6FC6">
        <w:rPr>
          <w:i w:val="0"/>
        </w:rPr>
        <w:t>*, Hao Lu</w:t>
      </w:r>
      <w:r w:rsidRPr="006D6FC6">
        <w:rPr>
          <w:i w:val="0"/>
          <w:vertAlign w:val="superscript"/>
        </w:rPr>
        <w:t xml:space="preserve">3 </w:t>
      </w:r>
      <w:r w:rsidRPr="00CC4E30">
        <w:rPr>
          <w:i w:val="0"/>
        </w:rPr>
        <w:t>*</w:t>
      </w:r>
      <w:r w:rsidR="00CC4E30" w:rsidRPr="006D6FC6">
        <w:rPr>
          <w:i w:val="0"/>
        </w:rPr>
        <w:t>,</w:t>
      </w:r>
      <w:r w:rsidRPr="00CC4E30">
        <w:rPr>
          <w:i w:val="0"/>
        </w:rPr>
        <w:t xml:space="preserve"> </w:t>
      </w:r>
      <w:r w:rsidRPr="006D6FC6">
        <w:rPr>
          <w:i w:val="0"/>
        </w:rPr>
        <w:t>and Zhishan Bo</w:t>
      </w:r>
      <w:r w:rsidRPr="006D6FC6">
        <w:rPr>
          <w:i w:val="0"/>
          <w:vertAlign w:val="superscript"/>
        </w:rPr>
        <w:t xml:space="preserve">1, 2, </w:t>
      </w:r>
      <w:r w:rsidRPr="006D6FC6">
        <w:rPr>
          <w:i w:val="0"/>
        </w:rPr>
        <w:t>*</w:t>
      </w:r>
    </w:p>
    <w:p w14:paraId="34B71F5A" w14:textId="32900A17" w:rsidR="00D944A4" w:rsidRPr="006D6FC6" w:rsidRDefault="00ED05B9" w:rsidP="006D6FC6">
      <w:pPr>
        <w:pStyle w:val="BCAuthorAddress"/>
        <w:spacing w:beforeLines="100" w:before="240" w:afterLines="100" w:line="360" w:lineRule="auto"/>
        <w:jc w:val="left"/>
        <w:rPr>
          <w:rFonts w:ascii="Times New Roman" w:hAnsi="Times New Roman"/>
          <w:szCs w:val="24"/>
        </w:rPr>
      </w:pPr>
      <w:r w:rsidRPr="006D6FC6">
        <w:rPr>
          <w:rFonts w:ascii="Times New Roman" w:hAnsi="Times New Roman"/>
          <w:szCs w:val="24"/>
          <w:vertAlign w:val="superscript"/>
        </w:rPr>
        <w:t>1</w:t>
      </w:r>
      <w:r w:rsidRPr="006D6FC6">
        <w:rPr>
          <w:rFonts w:ascii="Times New Roman" w:hAnsi="Times New Roman" w:hint="eastAsia"/>
          <w:szCs w:val="24"/>
        </w:rPr>
        <w:t xml:space="preserve"> </w:t>
      </w:r>
      <w:r w:rsidR="008B3EA1" w:rsidRPr="006D6FC6">
        <w:rPr>
          <w:rFonts w:ascii="Times New Roman" w:hAnsi="Times New Roman"/>
          <w:szCs w:val="24"/>
        </w:rPr>
        <w:t xml:space="preserve">Key Laboratory of Energy Conversion and Storage Materials, College of Chemistry, Beijing Normal University, Beijing 100875, </w:t>
      </w:r>
      <w:r w:rsidR="00CC4E30">
        <w:rPr>
          <w:rFonts w:ascii="Times New Roman" w:hAnsi="Times New Roman" w:hint="eastAsia"/>
          <w:szCs w:val="24"/>
          <w:lang w:eastAsia="zh-CN"/>
        </w:rPr>
        <w:t xml:space="preserve">P. R. </w:t>
      </w:r>
      <w:r w:rsidR="008B3EA1" w:rsidRPr="006D6FC6">
        <w:rPr>
          <w:rFonts w:ascii="Times New Roman" w:hAnsi="Times New Roman"/>
          <w:szCs w:val="24"/>
        </w:rPr>
        <w:t>China</w:t>
      </w:r>
    </w:p>
    <w:p w14:paraId="1188C0CF" w14:textId="4A8E8C61" w:rsidR="00D944A4" w:rsidRPr="006D6FC6" w:rsidRDefault="00ED05B9" w:rsidP="006D6FC6">
      <w:pPr>
        <w:pStyle w:val="BCAuthorAddress"/>
        <w:spacing w:beforeLines="100" w:before="240" w:afterLines="100" w:line="360" w:lineRule="auto"/>
        <w:jc w:val="left"/>
        <w:rPr>
          <w:rFonts w:ascii="Times New Roman" w:hAnsi="Times New Roman"/>
          <w:szCs w:val="24"/>
        </w:rPr>
      </w:pPr>
      <w:r w:rsidRPr="006D6FC6">
        <w:rPr>
          <w:rFonts w:ascii="Times New Roman" w:hAnsi="Times New Roman"/>
          <w:szCs w:val="24"/>
          <w:vertAlign w:val="superscript"/>
        </w:rPr>
        <w:t>2</w:t>
      </w:r>
      <w:r w:rsidRPr="006D6FC6">
        <w:t xml:space="preserve"> </w:t>
      </w:r>
      <w:r w:rsidR="008B3EA1" w:rsidRPr="006D6FC6">
        <w:rPr>
          <w:rFonts w:ascii="Times New Roman" w:hAnsi="Times New Roman"/>
          <w:szCs w:val="24"/>
        </w:rPr>
        <w:t xml:space="preserve">College of Textiles &amp; Clothing, State Key Laboratory of Bio-fibers and Eco-textiles, Qingdao University, Qingdao 266071, </w:t>
      </w:r>
      <w:r w:rsidR="00CC4E30">
        <w:rPr>
          <w:rFonts w:ascii="Times New Roman" w:hAnsi="Times New Roman" w:hint="eastAsia"/>
          <w:szCs w:val="24"/>
          <w:lang w:eastAsia="zh-CN"/>
        </w:rPr>
        <w:t xml:space="preserve">P. R. </w:t>
      </w:r>
      <w:r w:rsidR="008B3EA1" w:rsidRPr="006D6FC6">
        <w:rPr>
          <w:rFonts w:ascii="Times New Roman" w:hAnsi="Times New Roman"/>
          <w:szCs w:val="24"/>
        </w:rPr>
        <w:t>China</w:t>
      </w:r>
    </w:p>
    <w:p w14:paraId="72DBC67B" w14:textId="5ADFEF04" w:rsidR="00D944A4" w:rsidRPr="006D6FC6" w:rsidRDefault="00ED05B9" w:rsidP="006D6FC6">
      <w:pPr>
        <w:pStyle w:val="BCAuthorAddress"/>
        <w:spacing w:beforeLines="100" w:before="240" w:afterLines="100" w:line="360" w:lineRule="auto"/>
        <w:jc w:val="left"/>
        <w:rPr>
          <w:rFonts w:ascii="Times New Roman" w:hAnsi="Times New Roman"/>
          <w:szCs w:val="24"/>
        </w:rPr>
      </w:pPr>
      <w:r w:rsidRPr="006D6FC6">
        <w:rPr>
          <w:rFonts w:ascii="Times New Roman" w:hAnsi="Times New Roman" w:hint="eastAsia"/>
          <w:szCs w:val="24"/>
          <w:vertAlign w:val="superscript"/>
          <w:lang w:eastAsia="zh-CN"/>
        </w:rPr>
        <w:t>3</w:t>
      </w:r>
      <w:r w:rsidRPr="006D6FC6">
        <w:t xml:space="preserve"> </w:t>
      </w:r>
      <w:r w:rsidR="008B3EA1" w:rsidRPr="006D6FC6">
        <w:rPr>
          <w:rFonts w:ascii="Times New Roman" w:hAnsi="Times New Roman"/>
          <w:szCs w:val="24"/>
        </w:rPr>
        <w:t xml:space="preserve">College of Materials Science and Engineering, Qingdao University, Qingdao 266071, </w:t>
      </w:r>
      <w:r w:rsidR="00CC4E30">
        <w:rPr>
          <w:rFonts w:ascii="Times New Roman" w:hAnsi="Times New Roman" w:hint="eastAsia"/>
          <w:szCs w:val="24"/>
          <w:lang w:eastAsia="zh-CN"/>
        </w:rPr>
        <w:t xml:space="preserve">P. R. </w:t>
      </w:r>
      <w:r w:rsidR="008B3EA1" w:rsidRPr="006D6FC6">
        <w:rPr>
          <w:rFonts w:ascii="Times New Roman" w:hAnsi="Times New Roman"/>
          <w:szCs w:val="24"/>
        </w:rPr>
        <w:t>China</w:t>
      </w:r>
    </w:p>
    <w:p w14:paraId="47C19832" w14:textId="355EDFD2" w:rsidR="00D944A4" w:rsidRPr="006D6FC6" w:rsidRDefault="00ED05B9" w:rsidP="006D6FC6">
      <w:pPr>
        <w:pStyle w:val="BCAuthorAddress"/>
        <w:spacing w:beforeLines="100" w:before="240" w:afterLines="100" w:line="360" w:lineRule="auto"/>
        <w:jc w:val="left"/>
        <w:rPr>
          <w:rFonts w:ascii="Times New Roman" w:hAnsi="Times New Roman"/>
          <w:szCs w:val="24"/>
        </w:rPr>
      </w:pPr>
      <w:r w:rsidRPr="006D6FC6">
        <w:rPr>
          <w:rFonts w:ascii="Times New Roman" w:hAnsi="Times New Roman" w:hint="eastAsia"/>
          <w:szCs w:val="24"/>
          <w:vertAlign w:val="superscript"/>
          <w:lang w:eastAsia="zh-CN"/>
        </w:rPr>
        <w:t>4</w:t>
      </w:r>
      <w:r w:rsidRPr="006D6FC6">
        <w:t xml:space="preserve"> </w:t>
      </w:r>
      <w:r w:rsidR="008B3EA1" w:rsidRPr="006D6FC6">
        <w:rPr>
          <w:rFonts w:ascii="Times New Roman" w:eastAsia="Times New Roman" w:hAnsi="Times New Roman"/>
          <w:iCs/>
          <w:szCs w:val="24"/>
        </w:rPr>
        <w:t xml:space="preserve">Department of Physics and Applied Optics Beijing Area Major Laboratory, Beijing Normal University, Beijing 100875, </w:t>
      </w:r>
      <w:r w:rsidR="00CC4E30">
        <w:rPr>
          <w:rFonts w:ascii="Times New Roman" w:hAnsi="Times New Roman" w:hint="eastAsia"/>
          <w:szCs w:val="24"/>
          <w:lang w:eastAsia="zh-CN"/>
        </w:rPr>
        <w:t xml:space="preserve">P. R. </w:t>
      </w:r>
      <w:r w:rsidR="008B3EA1" w:rsidRPr="006D6FC6">
        <w:rPr>
          <w:rFonts w:ascii="Times New Roman" w:eastAsia="Times New Roman" w:hAnsi="Times New Roman"/>
          <w:iCs/>
          <w:szCs w:val="24"/>
        </w:rPr>
        <w:t>China</w:t>
      </w:r>
    </w:p>
    <w:p w14:paraId="25376B54" w14:textId="5BE16469" w:rsidR="00D944A4" w:rsidRDefault="00ED05B9" w:rsidP="006D6FC6">
      <w:pPr>
        <w:pStyle w:val="BCAuthorAddress"/>
        <w:spacing w:beforeLines="100" w:before="240" w:afterLines="100" w:line="360" w:lineRule="auto"/>
        <w:jc w:val="left"/>
        <w:rPr>
          <w:rFonts w:ascii="Times New Roman" w:eastAsiaTheme="minorEastAsia" w:hAnsi="Times New Roman"/>
          <w:iCs/>
          <w:szCs w:val="24"/>
          <w:lang w:eastAsia="zh-CN"/>
        </w:rPr>
      </w:pPr>
      <w:r w:rsidRPr="006D6FC6">
        <w:rPr>
          <w:rFonts w:ascii="Times New Roman" w:hAnsi="Times New Roman" w:hint="eastAsia"/>
          <w:szCs w:val="24"/>
          <w:vertAlign w:val="superscript"/>
          <w:lang w:eastAsia="zh-CN"/>
        </w:rPr>
        <w:t xml:space="preserve">5 </w:t>
      </w:r>
      <w:r w:rsidR="008B3EA1" w:rsidRPr="006D6FC6">
        <w:rPr>
          <w:rFonts w:ascii="Times New Roman" w:eastAsia="Times New Roman" w:hAnsi="Times New Roman"/>
          <w:iCs/>
          <w:szCs w:val="24"/>
        </w:rPr>
        <w:t xml:space="preserve">Laboratory of Eco-environmental Polymer Materials of Gansu Province, College of Chemistry and Chemical Engineering, Northwest Normal University, Lanzhou 730070, </w:t>
      </w:r>
      <w:r w:rsidR="00CC4E30">
        <w:rPr>
          <w:rFonts w:ascii="Times New Roman" w:hAnsi="Times New Roman" w:hint="eastAsia"/>
          <w:szCs w:val="24"/>
          <w:lang w:eastAsia="zh-CN"/>
        </w:rPr>
        <w:t xml:space="preserve">P. R. </w:t>
      </w:r>
      <w:r w:rsidR="008B3EA1" w:rsidRPr="006D6FC6">
        <w:rPr>
          <w:rFonts w:ascii="Times New Roman" w:eastAsia="Times New Roman" w:hAnsi="Times New Roman"/>
          <w:iCs/>
          <w:szCs w:val="24"/>
        </w:rPr>
        <w:t>China</w:t>
      </w:r>
    </w:p>
    <w:p w14:paraId="60254257" w14:textId="17B424A7" w:rsidR="00CC4E30" w:rsidRPr="00D55E20" w:rsidRDefault="00CC4E30" w:rsidP="00D55E20">
      <w:pPr>
        <w:pStyle w:val="BIEmailAddress"/>
        <w:rPr>
          <w:rFonts w:hint="eastAsia"/>
          <w:lang w:eastAsia="zh-CN"/>
        </w:rPr>
      </w:pPr>
      <w:r w:rsidRPr="006D6FC6">
        <w:rPr>
          <w:vertAlign w:val="superscript"/>
        </w:rPr>
        <w:t>†</w:t>
      </w:r>
      <w:r w:rsidRPr="006D6FC6">
        <w:t>Dawei Li</w:t>
      </w:r>
      <w:r>
        <w:rPr>
          <w:rFonts w:hint="eastAsia"/>
          <w:lang w:eastAsia="zh-CN"/>
        </w:rPr>
        <w:t xml:space="preserve"> and</w:t>
      </w:r>
      <w:r w:rsidRPr="006D6FC6">
        <w:t xml:space="preserve"> Nan Wei</w:t>
      </w:r>
      <w:r>
        <w:rPr>
          <w:rFonts w:hint="eastAsia"/>
          <w:lang w:eastAsia="zh-CN"/>
        </w:rPr>
        <w:t xml:space="preserve"> contributed equally to this work.</w:t>
      </w:r>
    </w:p>
    <w:p w14:paraId="2C8960A3" w14:textId="712C03E4" w:rsidR="00D944A4" w:rsidRPr="00D55E20" w:rsidRDefault="00ED05B9" w:rsidP="006D6FC6">
      <w:pPr>
        <w:spacing w:beforeLines="100" w:before="240" w:afterLines="100" w:after="240" w:line="360" w:lineRule="auto"/>
        <w:rPr>
          <w:rFonts w:eastAsiaTheme="minorEastAsia" w:hint="eastAsia"/>
          <w:lang w:eastAsia="zh-CN"/>
        </w:rPr>
      </w:pPr>
      <w:r w:rsidRPr="006D6FC6">
        <w:t>*</w:t>
      </w:r>
      <w:r w:rsidR="00A05C46" w:rsidRPr="006D6FC6">
        <w:t xml:space="preserve"> Corresponding authors. Email: </w:t>
      </w:r>
      <w:bookmarkStart w:id="1" w:name="OLE_LINK7"/>
      <w:r w:rsidR="00CC4E30">
        <w:fldChar w:fldCharType="begin"/>
      </w:r>
      <w:r w:rsidR="00CC4E30">
        <w:instrText>HYPERLINK "mailto:</w:instrText>
      </w:r>
      <w:r w:rsidR="00CC4E30" w:rsidRPr="006D6FC6">
        <w:instrText>licuihong@bnu.edu.cn</w:instrText>
      </w:r>
      <w:r w:rsidR="00CC4E30">
        <w:instrText>"</w:instrText>
      </w:r>
      <w:r w:rsidR="00CC4E30">
        <w:fldChar w:fldCharType="separate"/>
      </w:r>
      <w:r w:rsidR="00CC4E30" w:rsidRPr="002D158A">
        <w:rPr>
          <w:rStyle w:val="ae"/>
        </w:rPr>
        <w:t>licuihong@bnu.edu.cn</w:t>
      </w:r>
      <w:bookmarkEnd w:id="1"/>
      <w:r w:rsidR="00CC4E30">
        <w:fldChar w:fldCharType="end"/>
      </w:r>
      <w:r w:rsidR="00CC4E30">
        <w:rPr>
          <w:rFonts w:eastAsiaTheme="minorEastAsia" w:hint="eastAsia"/>
          <w:lang w:eastAsia="zh-CN"/>
        </w:rPr>
        <w:t xml:space="preserve"> (</w:t>
      </w:r>
      <w:r w:rsidR="00CC4E30" w:rsidRPr="006D6FC6">
        <w:t>Cuihong Li</w:t>
      </w:r>
      <w:r w:rsidR="00CC4E30">
        <w:rPr>
          <w:rFonts w:eastAsiaTheme="minorEastAsia" w:hint="eastAsia"/>
          <w:lang w:eastAsia="zh-CN"/>
        </w:rPr>
        <w:t>)</w:t>
      </w:r>
      <w:r w:rsidR="00A05C46" w:rsidRPr="006D6FC6">
        <w:t xml:space="preserve">; </w:t>
      </w:r>
      <w:hyperlink r:id="rId9" w:history="1">
        <w:r w:rsidR="00CC4E30" w:rsidRPr="002D158A">
          <w:rPr>
            <w:rStyle w:val="ae"/>
          </w:rPr>
          <w:t>liuyh@qdu.edu.cn</w:t>
        </w:r>
      </w:hyperlink>
      <w:r w:rsidR="00CC4E30">
        <w:rPr>
          <w:rFonts w:eastAsiaTheme="minorEastAsia" w:hint="eastAsia"/>
          <w:lang w:eastAsia="zh-CN"/>
        </w:rPr>
        <w:t xml:space="preserve"> (</w:t>
      </w:r>
      <w:r w:rsidR="00CC4E30" w:rsidRPr="006D6FC6">
        <w:t>Yahui Liu</w:t>
      </w:r>
      <w:r w:rsidR="00CC4E30">
        <w:rPr>
          <w:rFonts w:eastAsiaTheme="minorEastAsia" w:hint="eastAsia"/>
          <w:lang w:eastAsia="zh-CN"/>
        </w:rPr>
        <w:t>)</w:t>
      </w:r>
      <w:r w:rsidR="00A05C46" w:rsidRPr="006D6FC6">
        <w:t xml:space="preserve">; </w:t>
      </w:r>
      <w:hyperlink r:id="rId10" w:history="1">
        <w:r w:rsidR="00CC4E30" w:rsidRPr="002D158A">
          <w:rPr>
            <w:rStyle w:val="ae"/>
          </w:rPr>
          <w:t>luhao@qdu.edu.cn</w:t>
        </w:r>
      </w:hyperlink>
      <w:r w:rsidR="00CC4E30" w:rsidRPr="00CC4E30">
        <w:t xml:space="preserve"> </w:t>
      </w:r>
      <w:r w:rsidR="00CC4E30">
        <w:rPr>
          <w:rFonts w:eastAsiaTheme="minorEastAsia" w:hint="eastAsia"/>
          <w:lang w:eastAsia="zh-CN"/>
        </w:rPr>
        <w:t>(</w:t>
      </w:r>
      <w:r w:rsidR="00CC4E30" w:rsidRPr="006D6FC6">
        <w:t>Hao Lu</w:t>
      </w:r>
      <w:r w:rsidR="00CC4E30">
        <w:rPr>
          <w:rFonts w:eastAsiaTheme="minorEastAsia" w:hint="eastAsia"/>
          <w:lang w:eastAsia="zh-CN"/>
        </w:rPr>
        <w:t>)</w:t>
      </w:r>
      <w:r w:rsidR="00A05C46" w:rsidRPr="006D6FC6">
        <w:t xml:space="preserve">; </w:t>
      </w:r>
      <w:hyperlink r:id="rId11" w:history="1">
        <w:r w:rsidR="00CC4E30" w:rsidRPr="002D158A">
          <w:rPr>
            <w:rStyle w:val="ae"/>
          </w:rPr>
          <w:t>zsbo@bnu.edu.cn</w:t>
        </w:r>
      </w:hyperlink>
      <w:r w:rsidR="00CC4E30">
        <w:rPr>
          <w:rFonts w:eastAsiaTheme="minorEastAsia" w:hint="eastAsia"/>
          <w:lang w:eastAsia="zh-CN"/>
        </w:rPr>
        <w:t xml:space="preserve"> (</w:t>
      </w:r>
      <w:r w:rsidR="00CC4E30" w:rsidRPr="006D6FC6">
        <w:t>Zhishan Bo</w:t>
      </w:r>
      <w:r w:rsidR="00CC4E30">
        <w:rPr>
          <w:rFonts w:eastAsiaTheme="minorEastAsia" w:hint="eastAsia"/>
          <w:lang w:eastAsia="zh-CN"/>
        </w:rPr>
        <w:t>)</w:t>
      </w:r>
    </w:p>
    <w:bookmarkEnd w:id="0"/>
    <w:p w14:paraId="7F960728" w14:textId="77777777" w:rsidR="00D944A4" w:rsidRPr="006D6FC6" w:rsidRDefault="00ED05B9" w:rsidP="006D6FC6">
      <w:pPr>
        <w:pStyle w:val="FACorrespondingAuthorFootnote"/>
        <w:spacing w:beforeLines="100" w:before="240" w:afterLines="100" w:after="240" w:line="360" w:lineRule="auto"/>
        <w:jc w:val="left"/>
        <w:rPr>
          <w:rFonts w:ascii="Times New Roman" w:hAnsi="Times New Roman"/>
          <w:b/>
          <w:sz w:val="28"/>
          <w:szCs w:val="28"/>
        </w:rPr>
      </w:pPr>
      <w:r w:rsidRPr="006D6FC6">
        <w:rPr>
          <w:rFonts w:ascii="Times New Roman" w:hAnsi="Times New Roman"/>
          <w:b/>
          <w:sz w:val="28"/>
          <w:szCs w:val="28"/>
        </w:rPr>
        <w:t>Highlights</w:t>
      </w:r>
    </w:p>
    <w:p w14:paraId="6BDC417D" w14:textId="422524A7" w:rsidR="00D944A4" w:rsidRPr="00CC4E30" w:rsidRDefault="00A375A6" w:rsidP="006D6FC6">
      <w:pPr>
        <w:spacing w:beforeLines="100" w:before="240" w:after="100" w:line="360" w:lineRule="auto"/>
        <w:ind w:left="420" w:hanging="420"/>
        <w:rPr>
          <w:rFonts w:eastAsia="宋体"/>
        </w:rPr>
      </w:pPr>
      <w:r w:rsidRPr="006D6FC6">
        <w:rPr>
          <w:rFonts w:ascii="Wingdings" w:eastAsia="宋体" w:hAnsi="Wingdings"/>
          <w:lang w:val="en-AU" w:eastAsia="en-US"/>
        </w:rPr>
        <w:t></w:t>
      </w:r>
      <w:r w:rsidRPr="006D6FC6">
        <w:rPr>
          <w:rFonts w:ascii="Wingdings" w:eastAsia="宋体" w:hAnsi="Wingdings"/>
          <w:lang w:val="en-AU" w:eastAsia="en-US"/>
        </w:rPr>
        <w:tab/>
      </w:r>
      <w:r w:rsidR="00DF25A9" w:rsidRPr="006D6FC6">
        <w:rPr>
          <w:rFonts w:eastAsia="宋体"/>
        </w:rPr>
        <w:t xml:space="preserve">The asymmetric side-group strategy was employed to develop </w:t>
      </w:r>
      <w:r w:rsidR="00CC4E30">
        <w:rPr>
          <w:rFonts w:eastAsia="宋体" w:hint="eastAsia"/>
          <w:lang w:eastAsia="zh-CN"/>
        </w:rPr>
        <w:t xml:space="preserve">a </w:t>
      </w:r>
      <w:r w:rsidR="00CC4E30" w:rsidRPr="00CC4E30">
        <w:rPr>
          <w:rFonts w:eastAsia="宋体"/>
        </w:rPr>
        <w:t xml:space="preserve">nonfused ring electron acceptor, designated as </w:t>
      </w:r>
      <w:r w:rsidR="00DF25A9" w:rsidRPr="00D55E20">
        <w:rPr>
          <w:rFonts w:eastAsia="宋体"/>
        </w:rPr>
        <w:t>TT-Ph-C6</w:t>
      </w:r>
      <w:r w:rsidR="00DF25A9" w:rsidRPr="00CC4E30">
        <w:rPr>
          <w:rFonts w:eastAsia="宋体"/>
        </w:rPr>
        <w:t>, exhibiting enhanced solubility and three-dimensional molecular stacking.</w:t>
      </w:r>
    </w:p>
    <w:p w14:paraId="75A9F8BE" w14:textId="25FBF123" w:rsidR="00D944A4" w:rsidRPr="006D6FC6" w:rsidRDefault="00A375A6" w:rsidP="006D6FC6">
      <w:pPr>
        <w:spacing w:beforeLines="100" w:before="240" w:after="100" w:line="360" w:lineRule="auto"/>
        <w:ind w:left="420" w:hanging="420"/>
        <w:rPr>
          <w:rFonts w:eastAsia="MS Gothic"/>
        </w:rPr>
      </w:pPr>
      <w:r w:rsidRPr="00CC4E30">
        <w:rPr>
          <w:rFonts w:ascii="Wingdings" w:eastAsia="MS Gothic" w:hAnsi="Wingdings"/>
          <w:sz w:val="22"/>
          <w:szCs w:val="22"/>
          <w:lang w:val="en-AU" w:eastAsia="en-US"/>
        </w:rPr>
        <w:t></w:t>
      </w:r>
      <w:r w:rsidRPr="00CC4E30">
        <w:rPr>
          <w:rFonts w:ascii="Wingdings" w:eastAsia="MS Gothic" w:hAnsi="Wingdings"/>
          <w:sz w:val="22"/>
          <w:szCs w:val="22"/>
          <w:lang w:val="en-AU" w:eastAsia="en-US"/>
        </w:rPr>
        <w:tab/>
      </w:r>
      <w:r w:rsidR="00DF25A9" w:rsidRPr="00CC4E30">
        <w:rPr>
          <w:rFonts w:eastAsia="宋体"/>
        </w:rPr>
        <w:t xml:space="preserve">Strong π-π interactions optimized blend-film morphology, enabling </w:t>
      </w:r>
      <w:r w:rsidR="00DF25A9" w:rsidRPr="00D55E20">
        <w:rPr>
          <w:rFonts w:eastAsia="宋体"/>
        </w:rPr>
        <w:t>TT-Ph-C6</w:t>
      </w:r>
      <w:r w:rsidR="00DF25A9" w:rsidRPr="00CC4E30">
        <w:rPr>
          <w:rFonts w:eastAsia="宋体"/>
        </w:rPr>
        <w:t>-b</w:t>
      </w:r>
      <w:r w:rsidR="00DF25A9" w:rsidRPr="006D6FC6">
        <w:rPr>
          <w:rFonts w:eastAsia="宋体"/>
        </w:rPr>
        <w:t xml:space="preserve">ased devices to achieve a </w:t>
      </w:r>
      <w:r w:rsidR="00CC4E30" w:rsidRPr="006D6FC6">
        <w:rPr>
          <w:rFonts w:eastAsia="宋体"/>
        </w:rPr>
        <w:t>power conversion efficiency (PCE)</w:t>
      </w:r>
      <w:r w:rsidR="00DF25A9" w:rsidRPr="006D6FC6">
        <w:rPr>
          <w:rFonts w:eastAsia="宋体"/>
        </w:rPr>
        <w:t xml:space="preserve"> of 18.01% and FF of 80.10%, surpassing the 16.78% PCE of symmetric-chain 2BTh-2F.</w:t>
      </w:r>
    </w:p>
    <w:p w14:paraId="071E3607" w14:textId="77777777" w:rsidR="00D944A4" w:rsidRPr="006D6FC6" w:rsidRDefault="00A375A6" w:rsidP="006D6FC6">
      <w:pPr>
        <w:spacing w:beforeLines="100" w:before="240" w:after="100" w:line="360" w:lineRule="auto"/>
        <w:ind w:left="420" w:hanging="420"/>
        <w:rPr>
          <w:rFonts w:eastAsia="MS Gothic"/>
        </w:rPr>
      </w:pPr>
      <w:r w:rsidRPr="006D6FC6">
        <w:rPr>
          <w:rFonts w:ascii="Wingdings" w:eastAsia="MS Gothic" w:hAnsi="Wingdings"/>
          <w:sz w:val="22"/>
          <w:szCs w:val="22"/>
          <w:lang w:val="en-AU" w:eastAsia="en-US"/>
        </w:rPr>
        <w:lastRenderedPageBreak/>
        <w:t></w:t>
      </w:r>
      <w:r w:rsidRPr="006D6FC6">
        <w:rPr>
          <w:rFonts w:ascii="Wingdings" w:eastAsia="MS Gothic" w:hAnsi="Wingdings"/>
          <w:sz w:val="22"/>
          <w:szCs w:val="22"/>
          <w:lang w:val="en-AU" w:eastAsia="en-US"/>
        </w:rPr>
        <w:tab/>
      </w:r>
      <w:r w:rsidR="00DF25A9" w:rsidRPr="006D6FC6">
        <w:rPr>
          <w:rFonts w:eastAsia="宋体"/>
        </w:rPr>
        <w:t>Extended exciton diffusion lengths and accelerated dissociation further endowed</w:t>
      </w:r>
      <w:r w:rsidR="00DF25A9" w:rsidRPr="00CC4E30">
        <w:rPr>
          <w:rFonts w:eastAsia="宋体"/>
        </w:rPr>
        <w:t xml:space="preserve"> </w:t>
      </w:r>
      <w:r w:rsidR="00DF25A9" w:rsidRPr="00D55E20">
        <w:rPr>
          <w:rFonts w:eastAsia="宋体"/>
        </w:rPr>
        <w:t>TT-Ph-C6</w:t>
      </w:r>
      <w:r w:rsidR="00DF25A9" w:rsidRPr="00CC4E30">
        <w:rPr>
          <w:rFonts w:eastAsia="宋体"/>
        </w:rPr>
        <w:t xml:space="preserve"> with excepti</w:t>
      </w:r>
      <w:r w:rsidR="00DF25A9" w:rsidRPr="006D6FC6">
        <w:rPr>
          <w:rFonts w:eastAsia="宋体"/>
        </w:rPr>
        <w:t>onal thick-film tolerance, delivering 15.18% PCE at 200 nm and 14.64% at 300 nm—among the highest efficiencies reported for non-fused acceptors.</w:t>
      </w:r>
    </w:p>
    <w:p w14:paraId="79C14B8E" w14:textId="40C8E3DD" w:rsidR="00D944A4" w:rsidRPr="006D6FC6" w:rsidRDefault="00D944A4" w:rsidP="006D6FC6">
      <w:pPr>
        <w:spacing w:beforeLines="100" w:before="240" w:afterLines="100" w:after="240" w:line="360" w:lineRule="auto"/>
        <w:rPr>
          <w:rFonts w:eastAsia="宋体"/>
          <w:b/>
          <w:lang w:val="en-US" w:eastAsia="en-US"/>
        </w:rPr>
      </w:pPr>
    </w:p>
    <w:p w14:paraId="78F336DE" w14:textId="77777777" w:rsidR="00CC4E30" w:rsidRDefault="00CC4E30">
      <w:pPr>
        <w:rPr>
          <w:b/>
          <w:sz w:val="28"/>
          <w:szCs w:val="28"/>
          <w:lang w:val="en-US"/>
        </w:rPr>
      </w:pPr>
      <w:r>
        <w:rPr>
          <w:b/>
          <w:sz w:val="28"/>
          <w:szCs w:val="28"/>
        </w:rPr>
        <w:br w:type="page"/>
      </w:r>
    </w:p>
    <w:p w14:paraId="51095129" w14:textId="7B9AB3DE" w:rsidR="00D944A4" w:rsidRPr="006D6FC6" w:rsidRDefault="00ED05B9" w:rsidP="006D6FC6">
      <w:pPr>
        <w:pStyle w:val="Abstract"/>
        <w:spacing w:beforeLines="100" w:before="240" w:afterLines="100" w:after="240" w:line="360" w:lineRule="auto"/>
        <w:rPr>
          <w:color w:val="auto"/>
        </w:rPr>
      </w:pPr>
      <w:r w:rsidRPr="006D6FC6">
        <w:rPr>
          <w:b/>
          <w:color w:val="auto"/>
          <w:sz w:val="28"/>
          <w:szCs w:val="28"/>
        </w:rPr>
        <w:t>Abstract</w:t>
      </w:r>
      <w:r w:rsidR="002C319F" w:rsidRPr="006D6FC6">
        <w:rPr>
          <w:b/>
          <w:color w:val="auto"/>
          <w:sz w:val="28"/>
          <w:szCs w:val="28"/>
        </w:rPr>
        <w:t xml:space="preserve"> </w:t>
      </w:r>
    </w:p>
    <w:p w14:paraId="312910C2" w14:textId="77777777" w:rsidR="00D944A4" w:rsidRPr="006D6FC6" w:rsidRDefault="00DF25A9" w:rsidP="006D6FC6">
      <w:pPr>
        <w:autoSpaceDE w:val="0"/>
        <w:autoSpaceDN w:val="0"/>
        <w:adjustRightInd w:val="0"/>
        <w:spacing w:beforeLines="100" w:before="240" w:after="100" w:line="360" w:lineRule="auto"/>
        <w:rPr>
          <w:rFonts w:eastAsia="宋体"/>
        </w:rPr>
      </w:pPr>
      <w:r w:rsidRPr="006D6FC6">
        <w:rPr>
          <w:rFonts w:eastAsia="宋体"/>
        </w:rPr>
        <w:t xml:space="preserve">A nonfused ring electron acceptor (NFREA), designated as </w:t>
      </w:r>
      <w:r w:rsidRPr="006D6FC6">
        <w:rPr>
          <w:rFonts w:eastAsia="宋体"/>
          <w:b/>
          <w:bCs/>
        </w:rPr>
        <w:t>TT-Ph-C6</w:t>
      </w:r>
      <w:r w:rsidRPr="006D6FC6">
        <w:rPr>
          <w:rFonts w:eastAsia="宋体"/>
        </w:rPr>
        <w:t xml:space="preserve">, has been synthesized with the aim of enhancing the power conversion efficiency (PCE) of organic solar cells (OSCs). By integrating asymmetric phenylalkylamino side groups, </w:t>
      </w:r>
      <w:r w:rsidRPr="006D6FC6">
        <w:rPr>
          <w:rFonts w:eastAsia="宋体"/>
          <w:b/>
          <w:bCs/>
        </w:rPr>
        <w:t>TT-Ph-C6</w:t>
      </w:r>
      <w:r w:rsidRPr="006D6FC6">
        <w:rPr>
          <w:rFonts w:eastAsia="宋体"/>
        </w:rPr>
        <w:t xml:space="preserve"> demonstrates excellent solubility and its crystal structure exhibits compact packing structures with a three-dimensional molecular stacking network. These structural attributes markedly promote exciton diffusion and charge carrier mobility, particularly advantageous for the fabrication of thick-film devices. </w:t>
      </w:r>
      <w:r w:rsidRPr="006D6FC6">
        <w:rPr>
          <w:rFonts w:eastAsia="宋体"/>
          <w:b/>
          <w:bCs/>
        </w:rPr>
        <w:t>TT-Ph-C6</w:t>
      </w:r>
      <w:r w:rsidRPr="006D6FC6">
        <w:rPr>
          <w:rFonts w:eastAsia="宋体"/>
        </w:rPr>
        <w:t xml:space="preserve">-based devices have attained a PCE of 18.01% at a film thickness of 100 nm, and even at a film thickness of 300 nm, the </w:t>
      </w:r>
      <w:r w:rsidR="00E54E64" w:rsidRPr="006D6FC6">
        <w:rPr>
          <w:rFonts w:eastAsia="宋体"/>
        </w:rPr>
        <w:t>PCE</w:t>
      </w:r>
      <w:r w:rsidRPr="006D6FC6">
        <w:rPr>
          <w:rFonts w:eastAsia="宋体"/>
        </w:rPr>
        <w:t xml:space="preserve"> remains at 14.64%, surpassing that of devices based on 2BTh-2F. These remarkable properties position </w:t>
      </w:r>
      <w:r w:rsidRPr="006D6FC6">
        <w:rPr>
          <w:rFonts w:eastAsia="宋体"/>
          <w:b/>
          <w:bCs/>
        </w:rPr>
        <w:t>TT-Ph-C6</w:t>
      </w:r>
      <w:r w:rsidRPr="006D6FC6">
        <w:rPr>
          <w:rFonts w:eastAsia="宋体"/>
        </w:rPr>
        <w:t xml:space="preserve"> as a highly promising NFREA material for boosting the efficiency of </w:t>
      </w:r>
      <w:r w:rsidR="00E54E64" w:rsidRPr="006D6FC6">
        <w:rPr>
          <w:rFonts w:eastAsia="宋体"/>
        </w:rPr>
        <w:t>OSCs</w:t>
      </w:r>
      <w:r w:rsidRPr="006D6FC6">
        <w:rPr>
          <w:rFonts w:eastAsia="宋体"/>
        </w:rPr>
        <w:t>.</w:t>
      </w:r>
    </w:p>
    <w:p w14:paraId="091C2720" w14:textId="77777777" w:rsidR="00D944A4" w:rsidRPr="006D6FC6" w:rsidRDefault="00ED05B9" w:rsidP="006D6FC6">
      <w:pPr>
        <w:autoSpaceDE w:val="0"/>
        <w:autoSpaceDN w:val="0"/>
        <w:adjustRightInd w:val="0"/>
        <w:spacing w:beforeLines="100" w:before="240" w:after="100" w:line="360" w:lineRule="auto"/>
        <w:rPr>
          <w:rFonts w:eastAsia="宋体"/>
        </w:rPr>
      </w:pPr>
      <w:r w:rsidRPr="006D6FC6">
        <w:rPr>
          <w:rFonts w:eastAsia="宋体" w:hint="eastAsia"/>
          <w:b/>
          <w:sz w:val="28"/>
          <w:szCs w:val="28"/>
        </w:rPr>
        <w:t>Keywords</w:t>
      </w:r>
      <w:r w:rsidRPr="006D6FC6">
        <w:rPr>
          <w:rFonts w:eastAsia="宋体"/>
        </w:rPr>
        <w:t xml:space="preserve"> </w:t>
      </w:r>
      <w:r w:rsidR="00DF25A9" w:rsidRPr="006D6FC6">
        <w:rPr>
          <w:rFonts w:eastAsia="宋体"/>
        </w:rPr>
        <w:t>Organic solar cells; Nonfused ring electron acceptors; Asymmetric; Power conversion efficiency</w:t>
      </w:r>
    </w:p>
    <w:p w14:paraId="0FB31592" w14:textId="77777777" w:rsidR="00D944A4" w:rsidRPr="006D6FC6" w:rsidRDefault="00ED05B9" w:rsidP="006D6FC6">
      <w:pPr>
        <w:pStyle w:val="Head1"/>
      </w:pPr>
      <w:r w:rsidRPr="006D6FC6">
        <w:rPr>
          <w:sz w:val="24"/>
          <w:szCs w:val="24"/>
        </w:rPr>
        <w:br w:type="page"/>
      </w:r>
      <w:r w:rsidRPr="006D6FC6">
        <w:t>1 Introduction</w:t>
      </w:r>
    </w:p>
    <w:p w14:paraId="5156F180" w14:textId="6806A57F" w:rsidR="00D944A4" w:rsidRPr="006D6FC6" w:rsidRDefault="00DF25A9" w:rsidP="006D6FC6">
      <w:pPr>
        <w:spacing w:beforeLines="100" w:before="240" w:after="100" w:line="360" w:lineRule="auto"/>
        <w:rPr>
          <w:rFonts w:eastAsia="Times New Roman"/>
          <w:kern w:val="2"/>
          <w:lang w:val="en-US" w:eastAsia="zh-CN"/>
        </w:rPr>
      </w:pPr>
      <w:bookmarkStart w:id="2" w:name="_Hlk89007966"/>
      <w:r w:rsidRPr="006D6FC6">
        <w:rPr>
          <w:rFonts w:eastAsia="Times New Roman"/>
          <w:kern w:val="2"/>
          <w:lang w:val="en-US" w:eastAsia="zh-CN"/>
        </w:rPr>
        <w:t>Organic solar cells (OSCs) have garnered significant interest due to their remarkable attributes, such as simple structures, exceptional flexibility, lightweight feature, and compatibility with roll-to-roll printing processes</w:t>
      </w:r>
      <w:r w:rsidR="002E08F5" w:rsidRPr="006D6FC6">
        <w:rPr>
          <w:rFonts w:eastAsiaTheme="minorEastAsia" w:hint="eastAsia"/>
          <w:kern w:val="2"/>
          <w:lang w:val="en-US" w:eastAsia="zh-CN"/>
        </w:rPr>
        <w:t xml:space="preserve"> </w:t>
      </w:r>
      <w:r w:rsidR="007A6448" w:rsidRPr="006D6FC6">
        <w:rPr>
          <w:rFonts w:eastAsia="Times New Roman"/>
          <w:kern w:val="2"/>
          <w:lang w:val="en-US" w:eastAsia="zh-CN"/>
        </w:rPr>
        <w:t>[1-10]</w:t>
      </w:r>
      <w:r w:rsidRPr="006D6FC6">
        <w:rPr>
          <w:rFonts w:eastAsia="Times New Roman"/>
          <w:kern w:val="2"/>
          <w:lang w:val="en-US" w:eastAsia="zh-CN"/>
        </w:rPr>
        <w:t xml:space="preserve">. These unique characteristics highlight the vast potential of OSCs for portable electronic devices and versatile photovoltaic technologies. In recent times, fused-ring electron acceptors (FREAs), particularly the Y-series, have made substantial progress, elevating the </w:t>
      </w:r>
      <w:r w:rsidR="00CC4E30" w:rsidRPr="006D6FC6">
        <w:rPr>
          <w:rFonts w:eastAsia="宋体"/>
        </w:rPr>
        <w:t>power conversion efficiency (PCE)</w:t>
      </w:r>
      <w:r w:rsidRPr="006D6FC6">
        <w:rPr>
          <w:rFonts w:eastAsia="Times New Roman"/>
          <w:kern w:val="2"/>
          <w:lang w:val="en-US" w:eastAsia="zh-CN"/>
        </w:rPr>
        <w:t xml:space="preserve"> of single-junction OSCs to nearly 20%</w:t>
      </w:r>
      <w:r w:rsidR="002E08F5" w:rsidRPr="006D6FC6">
        <w:rPr>
          <w:rFonts w:eastAsiaTheme="minorEastAsia" w:hint="eastAsia"/>
          <w:kern w:val="2"/>
          <w:lang w:val="en-US" w:eastAsia="zh-CN"/>
        </w:rPr>
        <w:t xml:space="preserve"> </w:t>
      </w:r>
      <w:r w:rsidR="001D7D2C" w:rsidRPr="006D6FC6">
        <w:rPr>
          <w:rFonts w:eastAsia="Times New Roman"/>
          <w:kern w:val="2"/>
          <w:lang w:val="en-US" w:eastAsia="zh-CN"/>
        </w:rPr>
        <w:t>[11-18]</w:t>
      </w:r>
      <w:r w:rsidRPr="006D6FC6">
        <w:rPr>
          <w:rFonts w:eastAsia="Times New Roman"/>
          <w:kern w:val="2"/>
          <w:lang w:val="en-US" w:eastAsia="zh-CN"/>
        </w:rPr>
        <w:t xml:space="preserve">. However, the synthesis of FREAs often involves inefficient ring-closure reactions and requires complex, multi-step synthetic procedures, thereby increasing both the complexity of preparation and associated costs. Hence, NFREAs start to gain </w:t>
      </w:r>
      <w:proofErr w:type="gramStart"/>
      <w:r w:rsidRPr="006D6FC6">
        <w:rPr>
          <w:rFonts w:eastAsia="Times New Roman"/>
          <w:kern w:val="2"/>
          <w:lang w:val="en-US" w:eastAsia="zh-CN"/>
        </w:rPr>
        <w:t>more and more</w:t>
      </w:r>
      <w:proofErr w:type="gramEnd"/>
      <w:r w:rsidRPr="006D6FC6">
        <w:rPr>
          <w:rFonts w:eastAsia="Times New Roman"/>
          <w:kern w:val="2"/>
          <w:lang w:val="en-US" w:eastAsia="zh-CN"/>
        </w:rPr>
        <w:t xml:space="preserve"> attention. They circumvent ring-closure reactions and offer a straightforward synthesis process. Recent research findings indicate that NFREAs have made significant strides, achieving a PCE surpassing 19%, thus narrowing the performance gap with FREAs</w:t>
      </w:r>
      <w:r w:rsidR="00CC4E30">
        <w:rPr>
          <w:rFonts w:eastAsiaTheme="minorEastAsia" w:hint="eastAsia"/>
          <w:kern w:val="2"/>
          <w:lang w:val="en-US" w:eastAsia="zh-CN"/>
        </w:rPr>
        <w:t xml:space="preserve"> </w:t>
      </w:r>
      <w:r w:rsidR="001D7D2C" w:rsidRPr="006D6FC6">
        <w:rPr>
          <w:rFonts w:eastAsia="Times New Roman"/>
          <w:kern w:val="2"/>
          <w:lang w:val="en-US" w:eastAsia="zh-CN"/>
        </w:rPr>
        <w:t>[19]</w:t>
      </w:r>
      <w:r w:rsidRPr="006D6FC6">
        <w:rPr>
          <w:rFonts w:eastAsia="Times New Roman"/>
          <w:kern w:val="2"/>
          <w:lang w:val="en-US" w:eastAsia="zh-CN"/>
        </w:rPr>
        <w:t>. Nevertheless, several key challenges still need to be overcome to expedite the commercialization of NFREAs.</w:t>
      </w:r>
    </w:p>
    <w:bookmarkEnd w:id="2"/>
    <w:p w14:paraId="0F45D550" w14:textId="06608670" w:rsidR="00D944A4" w:rsidRPr="006D6FC6" w:rsidRDefault="00DF25A9" w:rsidP="006D6FC6">
      <w:pPr>
        <w:spacing w:beforeLines="100" w:before="240" w:after="100" w:line="360" w:lineRule="auto"/>
        <w:rPr>
          <w:rFonts w:eastAsia="Times New Roman"/>
          <w:kern w:val="2"/>
          <w:lang w:val="en-US" w:eastAsia="zh-CN"/>
        </w:rPr>
      </w:pPr>
      <w:r w:rsidRPr="006D6FC6">
        <w:rPr>
          <w:rFonts w:eastAsia="Times New Roman"/>
          <w:kern w:val="2"/>
          <w:lang w:val="en-US" w:eastAsia="zh-CN"/>
        </w:rPr>
        <w:t>Acceptor-(donor-acceptor'-donor)-acceptor (A-D-A'-D-A) type Y-series acceptors, representative of FREAs, exhibit a curved molecular configuration and a distinct stacking mode, forming a crystal structure network rich in charge transport channels and interconnected nodes. This structural feature facilitates efficient exciton and charge transport, substantially enhancing the exciton diffusion length and endowing thick-film OSCs with exceptional photovoltaic performance</w:t>
      </w:r>
      <w:r w:rsidR="00CC4E30">
        <w:rPr>
          <w:rFonts w:eastAsiaTheme="minorEastAsia" w:hint="eastAsia"/>
          <w:kern w:val="2"/>
          <w:lang w:val="en-US" w:eastAsia="zh-CN"/>
        </w:rPr>
        <w:t xml:space="preserve"> </w:t>
      </w:r>
      <w:r w:rsidR="001D7D2C" w:rsidRPr="006D6FC6">
        <w:rPr>
          <w:rFonts w:eastAsia="Times New Roman"/>
          <w:kern w:val="2"/>
          <w:lang w:val="en-US" w:eastAsia="zh-CN"/>
        </w:rPr>
        <w:t>[20-28]</w:t>
      </w:r>
      <w:r w:rsidRPr="006D6FC6">
        <w:rPr>
          <w:rFonts w:eastAsia="Times New Roman"/>
          <w:kern w:val="2"/>
          <w:lang w:val="en-US" w:eastAsia="zh-CN"/>
        </w:rPr>
        <w:t>.</w:t>
      </w:r>
      <w:r w:rsidRPr="006D6FC6">
        <w:t xml:space="preserve"> </w:t>
      </w:r>
      <w:r w:rsidRPr="006D6FC6">
        <w:rPr>
          <w:rFonts w:eastAsia="Times New Roman"/>
          <w:kern w:val="2"/>
          <w:lang w:val="en-US" w:eastAsia="zh-CN"/>
        </w:rPr>
        <w:t xml:space="preserve">In contrast, while NFREAs possess a more streamlined molecular architecture, constructed through single-bond linkages resulting in acceptor-donor-acceptor (A-D-A) or more intricate A-D-A'-D-A structures, this structural attribute </w:t>
      </w:r>
      <w:proofErr w:type="gramStart"/>
      <w:r w:rsidRPr="006D6FC6">
        <w:rPr>
          <w:rFonts w:eastAsia="Times New Roman"/>
          <w:kern w:val="2"/>
          <w:lang w:val="en-US" w:eastAsia="zh-CN"/>
        </w:rPr>
        <w:t>actually enables</w:t>
      </w:r>
      <w:proofErr w:type="gramEnd"/>
      <w:r w:rsidRPr="006D6FC6">
        <w:rPr>
          <w:rFonts w:eastAsia="Times New Roman"/>
          <w:kern w:val="2"/>
          <w:lang w:val="en-US" w:eastAsia="zh-CN"/>
        </w:rPr>
        <w:t xml:space="preserve"> precise adjustment of the core structure and π-bridge units, allowing for meticulous control over photoelectric properties like light absorption, energy levels, and electron mobility. Moreover, in the design of NFREAs, intramolecular non-covalent interactions, such as S···O, S···S, and O···H, are frequently incorporated to effectively tackle challenges associated with the planarity and rigidity of the molecular framework, thereby promoting efficient molecular stacking</w:t>
      </w:r>
      <w:r w:rsidR="00CC4E30">
        <w:rPr>
          <w:rFonts w:eastAsiaTheme="minorEastAsia" w:hint="eastAsia"/>
          <w:kern w:val="2"/>
          <w:lang w:val="en-US" w:eastAsia="zh-CN"/>
        </w:rPr>
        <w:t xml:space="preserve"> </w:t>
      </w:r>
      <w:r w:rsidR="005A6D10" w:rsidRPr="006D6FC6">
        <w:rPr>
          <w:rFonts w:eastAsia="Times New Roman"/>
          <w:kern w:val="2"/>
          <w:lang w:val="en-US" w:eastAsia="zh-CN"/>
        </w:rPr>
        <w:t>[29-34]</w:t>
      </w:r>
      <w:r w:rsidRPr="006D6FC6">
        <w:rPr>
          <w:rFonts w:eastAsia="Times New Roman"/>
          <w:kern w:val="2"/>
          <w:lang w:val="en-US" w:eastAsia="zh-CN"/>
        </w:rPr>
        <w:t>. However, it is worth noting that the electron mobility of NFREAs is generally lower than that of Y-series acceptors. Consequently, to further augment charge transport abilities, it is imperative to enhance molecular rigidity and promote closer packing. One effective strategy to achieve this is the introduction of asymmetric side groups. Asymmetric side groups can significantly influence the molecular packing and electronic properties of NFREAs. By carefully designing these side groups, it is possible to enhance the molecular rigidity and promote closer packing, which in turn improves charge transport and exciton diffusion</w:t>
      </w:r>
      <w:r w:rsidR="00CC4E30">
        <w:rPr>
          <w:rFonts w:eastAsiaTheme="minorEastAsia" w:hint="eastAsia"/>
          <w:kern w:val="2"/>
          <w:lang w:val="en-US" w:eastAsia="zh-CN"/>
        </w:rPr>
        <w:t xml:space="preserve"> </w:t>
      </w:r>
      <w:r w:rsidR="00053C2C" w:rsidRPr="006D6FC6">
        <w:rPr>
          <w:rFonts w:eastAsia="Times New Roman"/>
          <w:kern w:val="2"/>
          <w:lang w:val="en-US" w:eastAsia="zh-CN"/>
        </w:rPr>
        <w:t>[35</w:t>
      </w:r>
      <w:r w:rsidR="00AC6C22" w:rsidRPr="006D6FC6">
        <w:rPr>
          <w:rFonts w:eastAsia="Times New Roman"/>
          <w:kern w:val="2"/>
          <w:lang w:val="en-US" w:eastAsia="zh-CN"/>
        </w:rPr>
        <w:t>-37</w:t>
      </w:r>
      <w:r w:rsidR="00053C2C" w:rsidRPr="006D6FC6">
        <w:rPr>
          <w:rFonts w:eastAsia="Times New Roman"/>
          <w:kern w:val="2"/>
          <w:lang w:val="en-US" w:eastAsia="zh-CN"/>
        </w:rPr>
        <w:t>]</w:t>
      </w:r>
      <w:r w:rsidRPr="006D6FC6">
        <w:rPr>
          <w:rFonts w:eastAsia="Times New Roman"/>
          <w:kern w:val="2"/>
          <w:lang w:val="en-US" w:eastAsia="zh-CN"/>
        </w:rPr>
        <w:t>.</w:t>
      </w:r>
      <w:r w:rsidRPr="006D6FC6">
        <w:rPr>
          <w:rFonts w:eastAsia="Times New Roman"/>
          <w:kern w:val="2"/>
          <w:vertAlign w:val="superscript"/>
          <w:lang w:val="en-US" w:eastAsia="zh-CN"/>
        </w:rPr>
        <w:t xml:space="preserve"> </w:t>
      </w:r>
      <w:r w:rsidRPr="006D6FC6">
        <w:rPr>
          <w:rFonts w:eastAsia="Times New Roman"/>
          <w:kern w:val="2"/>
          <w:lang w:val="en-US" w:eastAsia="zh-CN"/>
        </w:rPr>
        <w:t>However, the currently available high-performance non-fused ring electron acceptors typically incorporate large sterically hindered side groups, such as diphenylamine and 2,4,6-triisopropylbenzene moieties, which are effective in mitigating excessive aggregation and ensuring satisfactory solubility</w:t>
      </w:r>
      <w:r w:rsidR="00CC4E30">
        <w:rPr>
          <w:rFonts w:eastAsiaTheme="minorEastAsia" w:hint="eastAsia"/>
          <w:kern w:val="2"/>
          <w:lang w:val="en-US" w:eastAsia="zh-CN"/>
        </w:rPr>
        <w:t xml:space="preserve"> </w:t>
      </w:r>
      <w:r w:rsidR="005A6D10" w:rsidRPr="006D6FC6">
        <w:rPr>
          <w:rFonts w:eastAsia="Times New Roman"/>
          <w:kern w:val="2"/>
          <w:lang w:val="en-US" w:eastAsia="zh-CN"/>
        </w:rPr>
        <w:t>[</w:t>
      </w:r>
      <w:r w:rsidR="000D3A42" w:rsidRPr="006D6FC6">
        <w:rPr>
          <w:rFonts w:eastAsia="Times New Roman"/>
          <w:kern w:val="2"/>
          <w:lang w:val="en-US" w:eastAsia="zh-CN"/>
        </w:rPr>
        <w:t>38</w:t>
      </w:r>
      <w:r w:rsidR="005A6D10" w:rsidRPr="006D6FC6">
        <w:rPr>
          <w:rFonts w:eastAsia="Times New Roman"/>
          <w:kern w:val="2"/>
          <w:lang w:val="en-US" w:eastAsia="zh-CN"/>
        </w:rPr>
        <w:t>-</w:t>
      </w:r>
      <w:r w:rsidR="000D3A42" w:rsidRPr="006D6FC6">
        <w:rPr>
          <w:rFonts w:eastAsia="Times New Roman"/>
          <w:kern w:val="2"/>
          <w:lang w:val="en-US" w:eastAsia="zh-CN"/>
        </w:rPr>
        <w:t>43</w:t>
      </w:r>
      <w:r w:rsidR="005A6D10" w:rsidRPr="006D6FC6">
        <w:rPr>
          <w:rFonts w:eastAsia="Times New Roman"/>
          <w:kern w:val="2"/>
          <w:lang w:val="en-US" w:eastAsia="zh-CN"/>
        </w:rPr>
        <w:t>]</w:t>
      </w:r>
      <w:r w:rsidRPr="006D6FC6">
        <w:rPr>
          <w:rFonts w:eastAsia="Times New Roman"/>
          <w:kern w:val="2"/>
          <w:lang w:val="en-US" w:eastAsia="zh-CN"/>
        </w:rPr>
        <w:t>. Nevertheless, these bulky side chains also hinder close molecular packing, leading to reduced crystallinity and packing density of the acceptor materials. Consequently, this poses challenges to charge transport and exciton diffusion. Given the necessity for acceptor materials in thick-film OSCs to exhibit both high charge carrier mobility and good solubility</w:t>
      </w:r>
      <w:r w:rsidR="00CC4E30">
        <w:rPr>
          <w:rFonts w:eastAsiaTheme="minorEastAsia" w:hint="eastAsia"/>
          <w:kern w:val="2"/>
          <w:lang w:val="en-US" w:eastAsia="zh-CN"/>
        </w:rPr>
        <w:t xml:space="preserve"> </w:t>
      </w:r>
      <w:r w:rsidR="00053C2C" w:rsidRPr="006D6FC6">
        <w:rPr>
          <w:rFonts w:eastAsia="Times New Roman"/>
          <w:kern w:val="2"/>
          <w:lang w:val="en-US" w:eastAsia="zh-CN"/>
        </w:rPr>
        <w:t>[</w:t>
      </w:r>
      <w:r w:rsidR="000D3A42" w:rsidRPr="006D6FC6">
        <w:rPr>
          <w:rFonts w:eastAsia="Times New Roman"/>
          <w:kern w:val="2"/>
          <w:lang w:val="en-US" w:eastAsia="zh-CN"/>
        </w:rPr>
        <w:t>44</w:t>
      </w:r>
      <w:r w:rsidR="00053C2C" w:rsidRPr="006D6FC6">
        <w:rPr>
          <w:rFonts w:eastAsia="Times New Roman"/>
          <w:kern w:val="2"/>
          <w:lang w:val="en-US" w:eastAsia="zh-CN"/>
        </w:rPr>
        <w:t>]</w:t>
      </w:r>
      <w:r w:rsidRPr="006D6FC6">
        <w:rPr>
          <w:rFonts w:eastAsia="Times New Roman"/>
          <w:kern w:val="2"/>
          <w:lang w:val="en-US" w:eastAsia="zh-CN"/>
        </w:rPr>
        <w:t xml:space="preserve">, it becomes crucial to finely tune the sterically hindering side groups during the design of non-fused ring acceptor molecules. This delicate balance between the two performance requirements is of utmost importance in the development of high-performance NFREAs, especially when constructing high-performance thick-film devices based on NFREAs, where the significance of this balancing act is particularly evident. </w:t>
      </w:r>
    </w:p>
    <w:p w14:paraId="15909E53" w14:textId="55DD99CF" w:rsidR="00D944A4" w:rsidRPr="006D6FC6" w:rsidRDefault="00DF25A9" w:rsidP="006D6FC6">
      <w:pPr>
        <w:spacing w:beforeLines="100" w:before="240" w:after="100" w:line="360" w:lineRule="auto"/>
        <w:rPr>
          <w:rFonts w:eastAsiaTheme="minorEastAsia"/>
          <w:kern w:val="2"/>
          <w:lang w:val="en-US" w:eastAsia="zh-CN"/>
        </w:rPr>
      </w:pPr>
      <w:r w:rsidRPr="006D6FC6">
        <w:rPr>
          <w:rFonts w:eastAsia="Times New Roman"/>
          <w:kern w:val="2"/>
          <w:lang w:val="en-US" w:eastAsia="zh-CN"/>
        </w:rPr>
        <w:t xml:space="preserve">Herein, we report a novel NFREA, designated as </w:t>
      </w:r>
      <w:r w:rsidRPr="006D6FC6">
        <w:rPr>
          <w:rFonts w:eastAsia="Times New Roman"/>
          <w:b/>
          <w:bCs/>
          <w:kern w:val="2"/>
          <w:lang w:val="en-US" w:eastAsia="zh-CN"/>
        </w:rPr>
        <w:t>TT-Ph-C6</w:t>
      </w:r>
      <w:r w:rsidRPr="006D6FC6">
        <w:rPr>
          <w:rFonts w:eastAsia="Times New Roman"/>
          <w:kern w:val="2"/>
          <w:lang w:val="en-US" w:eastAsia="zh-CN"/>
        </w:rPr>
        <w:t>, which exhibits significantly enhanced solubility and promotes the formation of a compact, ordered three-dimensional (3D) network stacking structure through the innovative incorporation of asymmetric phenylalkylamine side groups. This structural feature effectively enhances charge transport and key device parameters, including</w:t>
      </w:r>
      <w:r w:rsidR="000925B9">
        <w:rPr>
          <w:rFonts w:eastAsiaTheme="minorEastAsia" w:hint="eastAsia"/>
          <w:kern w:val="2"/>
          <w:lang w:val="en-US" w:eastAsia="zh-CN"/>
        </w:rPr>
        <w:t xml:space="preserve"> </w:t>
      </w:r>
      <w:r w:rsidR="000925B9" w:rsidRPr="000925B9">
        <w:rPr>
          <w:rFonts w:eastAsiaTheme="minorEastAsia"/>
          <w:kern w:val="2"/>
          <w:lang w:val="en-US" w:eastAsia="zh-CN"/>
        </w:rPr>
        <w:t>short-circuit current d</w:t>
      </w:r>
      <w:r w:rsidR="000925B9" w:rsidRPr="000925B9">
        <w:rPr>
          <w:rFonts w:eastAsiaTheme="minorEastAsia"/>
          <w:kern w:val="2"/>
          <w:lang w:val="en-US" w:eastAsia="zh-CN"/>
        </w:rPr>
        <w:t>ensity</w:t>
      </w:r>
      <w:r w:rsidRPr="006D6FC6">
        <w:rPr>
          <w:rFonts w:eastAsia="Times New Roman"/>
          <w:i/>
          <w:iCs/>
          <w:kern w:val="2"/>
          <w:lang w:val="en-US" w:eastAsia="zh-CN"/>
        </w:rPr>
        <w:t xml:space="preserve"> </w:t>
      </w:r>
      <w:r w:rsidR="000925B9">
        <w:rPr>
          <w:rFonts w:eastAsiaTheme="minorEastAsia" w:hint="eastAsia"/>
          <w:i/>
          <w:iCs/>
          <w:kern w:val="2"/>
          <w:lang w:val="en-US" w:eastAsia="zh-CN"/>
        </w:rPr>
        <w:t>(</w:t>
      </w:r>
      <w:r w:rsidRPr="006D6FC6">
        <w:rPr>
          <w:rFonts w:eastAsia="Times New Roman"/>
          <w:i/>
          <w:iCs/>
          <w:kern w:val="2"/>
          <w:lang w:val="en-US" w:eastAsia="zh-CN"/>
        </w:rPr>
        <w:t>J</w:t>
      </w:r>
      <w:r w:rsidRPr="006D6FC6">
        <w:rPr>
          <w:rFonts w:eastAsia="Times New Roman"/>
          <w:kern w:val="2"/>
          <w:vertAlign w:val="subscript"/>
          <w:lang w:val="en-US" w:eastAsia="zh-CN"/>
        </w:rPr>
        <w:t>sc</w:t>
      </w:r>
      <w:r w:rsidR="000925B9">
        <w:rPr>
          <w:rFonts w:eastAsiaTheme="minorEastAsia" w:hint="eastAsia"/>
          <w:kern w:val="2"/>
          <w:lang w:val="en-US" w:eastAsia="zh-CN"/>
        </w:rPr>
        <w:t>)</w:t>
      </w:r>
      <w:r w:rsidRPr="006D6FC6">
        <w:rPr>
          <w:rFonts w:eastAsia="Times New Roman"/>
          <w:kern w:val="2"/>
          <w:lang w:val="en-US" w:eastAsia="zh-CN"/>
        </w:rPr>
        <w:t xml:space="preserve"> and </w:t>
      </w:r>
      <w:r w:rsidR="00A00427" w:rsidRPr="00A00427">
        <w:rPr>
          <w:rFonts w:eastAsia="Times New Roman"/>
          <w:kern w:val="2"/>
          <w:lang w:val="en-US" w:eastAsia="zh-CN"/>
        </w:rPr>
        <w:t>fill factor</w:t>
      </w:r>
      <w:r w:rsidR="00A00427">
        <w:rPr>
          <w:rFonts w:eastAsiaTheme="minorEastAsia" w:hint="eastAsia"/>
          <w:kern w:val="2"/>
          <w:lang w:val="en-US" w:eastAsia="zh-CN"/>
        </w:rPr>
        <w:t xml:space="preserve"> </w:t>
      </w:r>
      <w:r w:rsidR="00A00427" w:rsidRPr="00A00427">
        <w:rPr>
          <w:rFonts w:eastAsiaTheme="minorEastAsia" w:hint="eastAsia"/>
          <w:kern w:val="2"/>
          <w:lang w:val="en-US" w:eastAsia="zh-CN"/>
        </w:rPr>
        <w:t>(</w:t>
      </w:r>
      <w:r w:rsidRPr="00A00427">
        <w:rPr>
          <w:rFonts w:eastAsia="Times New Roman"/>
          <w:kern w:val="2"/>
          <w:lang w:val="en-US" w:eastAsia="zh-CN"/>
        </w:rPr>
        <w:t>FF</w:t>
      </w:r>
      <w:r w:rsidR="00A00427" w:rsidRPr="00A00427">
        <w:rPr>
          <w:rFonts w:eastAsiaTheme="minorEastAsia" w:hint="eastAsia"/>
          <w:kern w:val="2"/>
          <w:lang w:val="en-US" w:eastAsia="zh-CN"/>
        </w:rPr>
        <w:t>)</w:t>
      </w:r>
      <w:r w:rsidRPr="00A00427">
        <w:rPr>
          <w:rFonts w:eastAsia="Times New Roman"/>
          <w:kern w:val="2"/>
          <w:lang w:val="en-US" w:eastAsia="zh-CN"/>
        </w:rPr>
        <w:t>.</w:t>
      </w:r>
      <w:r w:rsidRPr="006D6FC6">
        <w:rPr>
          <w:rFonts w:eastAsia="Times New Roman"/>
          <w:kern w:val="2"/>
          <w:lang w:val="en-US" w:eastAsia="zh-CN"/>
        </w:rPr>
        <w:t xml:space="preserve"> OSCs incorporating the </w:t>
      </w:r>
      <w:r w:rsidRPr="006D6FC6">
        <w:rPr>
          <w:rFonts w:eastAsia="Times New Roman"/>
          <w:b/>
          <w:bCs/>
          <w:kern w:val="2"/>
          <w:lang w:val="en-US" w:eastAsia="zh-CN"/>
        </w:rPr>
        <w:t>TT-Ph-C6</w:t>
      </w:r>
      <w:r w:rsidRPr="006D6FC6">
        <w:rPr>
          <w:rFonts w:eastAsia="Times New Roman"/>
          <w:kern w:val="2"/>
          <w:lang w:val="en-US" w:eastAsia="zh-CN"/>
        </w:rPr>
        <w:t xml:space="preserve"> acceptor have attained a remarkable PCE of 18.01%, with an FF exceeding 80%, setting a new benchmark in the field of NFREAs. In comparison to the 2BTh-2F acceptor molecule featuring diphenylamine side groups, </w:t>
      </w:r>
      <w:r w:rsidRPr="006D6FC6">
        <w:rPr>
          <w:rFonts w:eastAsia="Times New Roman"/>
          <w:b/>
          <w:bCs/>
          <w:kern w:val="2"/>
          <w:lang w:val="en-US" w:eastAsia="zh-CN"/>
        </w:rPr>
        <w:t>TT-Ph-C6</w:t>
      </w:r>
      <w:r w:rsidRPr="006D6FC6">
        <w:rPr>
          <w:rFonts w:eastAsia="Times New Roman"/>
          <w:kern w:val="2"/>
          <w:lang w:val="en-US" w:eastAsia="zh-CN"/>
        </w:rPr>
        <w:t>-based devices exhibit a more gradual efficiency decline as active layer thickness varies. Specifically, at thicknesses of 100, 200</w:t>
      </w:r>
      <w:r w:rsidR="00D01A05">
        <w:rPr>
          <w:rFonts w:eastAsiaTheme="minorEastAsia" w:hint="eastAsia"/>
          <w:kern w:val="2"/>
          <w:lang w:val="en-US" w:eastAsia="zh-CN"/>
        </w:rPr>
        <w:t>,</w:t>
      </w:r>
      <w:r w:rsidRPr="006D6FC6">
        <w:rPr>
          <w:rFonts w:eastAsia="Times New Roman"/>
          <w:kern w:val="2"/>
          <w:lang w:val="en-US" w:eastAsia="zh-CN"/>
        </w:rPr>
        <w:t xml:space="preserve"> and 300 nm, PCEs are maintained at 18.01%, 15.18%</w:t>
      </w:r>
      <w:r w:rsidR="00D01A05">
        <w:rPr>
          <w:rFonts w:eastAsiaTheme="minorEastAsia" w:hint="eastAsia"/>
          <w:kern w:val="2"/>
          <w:lang w:val="en-US" w:eastAsia="zh-CN"/>
        </w:rPr>
        <w:t>,</w:t>
      </w:r>
      <w:r w:rsidRPr="006D6FC6">
        <w:rPr>
          <w:rFonts w:eastAsia="Times New Roman"/>
          <w:kern w:val="2"/>
          <w:lang w:val="en-US" w:eastAsia="zh-CN"/>
        </w:rPr>
        <w:t xml:space="preserve"> and 14.64%, respectively, highlighting its exceptional thickness tolerance. This underscores the crucial role of </w:t>
      </w:r>
      <w:r w:rsidRPr="006D6FC6">
        <w:rPr>
          <w:rFonts w:eastAsia="Times New Roman"/>
          <w:b/>
          <w:bCs/>
          <w:kern w:val="2"/>
          <w:lang w:val="en-US" w:eastAsia="zh-CN"/>
        </w:rPr>
        <w:t>TT-Ph-C6</w:t>
      </w:r>
      <w:r w:rsidRPr="006D6FC6">
        <w:rPr>
          <w:rFonts w:eastAsia="Times New Roman"/>
          <w:kern w:val="2"/>
          <w:lang w:val="en-US" w:eastAsia="zh-CN"/>
        </w:rPr>
        <w:t xml:space="preserve"> in the fabrication of thick-film devices for NFREA-based OSCs.</w:t>
      </w:r>
    </w:p>
    <w:p w14:paraId="436B7A01" w14:textId="77777777" w:rsidR="00D944A4" w:rsidRPr="006D6FC6" w:rsidRDefault="00ED05B9" w:rsidP="006D6FC6">
      <w:pPr>
        <w:spacing w:beforeLines="100" w:before="240" w:afterLines="100" w:after="240" w:line="360" w:lineRule="auto"/>
        <w:rPr>
          <w:rFonts w:eastAsia="宋体"/>
          <w:b/>
          <w:lang w:val="en-US" w:eastAsia="en-US"/>
        </w:rPr>
      </w:pPr>
      <w:r w:rsidRPr="006D6FC6">
        <w:rPr>
          <w:rFonts w:eastAsia="宋体"/>
          <w:b/>
          <w:sz w:val="28"/>
          <w:szCs w:val="28"/>
          <w:lang w:val="en-US" w:eastAsia="en-US"/>
        </w:rPr>
        <w:t>2 Experimental Section</w:t>
      </w:r>
    </w:p>
    <w:p w14:paraId="7AEFDB1C" w14:textId="11A4EF6C" w:rsidR="00D944A4" w:rsidRPr="00D55E20" w:rsidRDefault="00A375A6" w:rsidP="00D10F4F">
      <w:pPr>
        <w:autoSpaceDE w:val="0"/>
        <w:autoSpaceDN w:val="0"/>
        <w:adjustRightInd w:val="0"/>
        <w:spacing w:beforeLines="100" w:before="240" w:after="100" w:line="360" w:lineRule="auto"/>
        <w:ind w:left="360" w:hanging="360"/>
        <w:rPr>
          <w:rFonts w:eastAsia="宋体"/>
          <w:b/>
          <w:bCs/>
        </w:rPr>
      </w:pPr>
      <w:r w:rsidRPr="006D6FC6">
        <w:rPr>
          <w:rFonts w:eastAsia="宋体"/>
          <w:b/>
          <w:bCs/>
        </w:rPr>
        <w:t>2.1</w:t>
      </w:r>
      <w:r w:rsidRPr="006D6FC6">
        <w:rPr>
          <w:rFonts w:eastAsia="宋体"/>
          <w:b/>
          <w:bCs/>
        </w:rPr>
        <w:tab/>
      </w:r>
      <w:r w:rsidR="00ED05B9" w:rsidRPr="006D6FC6">
        <w:rPr>
          <w:rFonts w:eastAsia="宋体"/>
          <w:b/>
          <w:bCs/>
        </w:rPr>
        <w:t>Materials</w:t>
      </w:r>
      <w:r w:rsidR="00D10F4F">
        <w:rPr>
          <w:rFonts w:eastAsia="宋体" w:hint="eastAsia"/>
          <w:b/>
          <w:bCs/>
          <w:lang w:eastAsia="zh-CN"/>
        </w:rPr>
        <w:t xml:space="preserve"> </w:t>
      </w:r>
      <w:r w:rsidR="00B323F6" w:rsidRPr="00D55E20">
        <w:rPr>
          <w:rFonts w:eastAsia="宋体"/>
          <w:b/>
          <w:bCs/>
        </w:rPr>
        <w:t xml:space="preserve">Synthesis and </w:t>
      </w:r>
      <w:r w:rsidR="00D10F4F">
        <w:rPr>
          <w:rFonts w:eastAsia="宋体" w:hint="eastAsia"/>
          <w:b/>
          <w:bCs/>
          <w:lang w:eastAsia="zh-CN"/>
        </w:rPr>
        <w:t>C</w:t>
      </w:r>
      <w:r w:rsidR="00B323F6" w:rsidRPr="00D55E20">
        <w:rPr>
          <w:rFonts w:eastAsia="宋体"/>
          <w:b/>
          <w:bCs/>
        </w:rPr>
        <w:t>haracterization</w:t>
      </w:r>
    </w:p>
    <w:p w14:paraId="37E4F7DF" w14:textId="14E4ED96" w:rsidR="00D944A4" w:rsidRPr="006D6FC6" w:rsidRDefault="00D944A4" w:rsidP="006D6FC6">
      <w:pPr>
        <w:autoSpaceDE w:val="0"/>
        <w:autoSpaceDN w:val="0"/>
        <w:adjustRightInd w:val="0"/>
        <w:spacing w:beforeLines="100" w:before="240" w:after="100" w:line="360" w:lineRule="auto"/>
        <w:rPr>
          <w:rFonts w:eastAsia="宋体"/>
        </w:rPr>
      </w:pPr>
    </w:p>
    <w:p w14:paraId="3949ECDE" w14:textId="754FB743" w:rsidR="00D944A4" w:rsidRPr="006D6FC6" w:rsidRDefault="00B323F6" w:rsidP="006D6FC6">
      <w:pPr>
        <w:autoSpaceDE w:val="0"/>
        <w:autoSpaceDN w:val="0"/>
        <w:adjustRightInd w:val="0"/>
        <w:spacing w:beforeLines="100" w:before="240" w:after="100" w:line="360" w:lineRule="auto"/>
        <w:rPr>
          <w:rFonts w:eastAsia="Yu Mincho"/>
        </w:rPr>
      </w:pPr>
      <w:r w:rsidRPr="006D6FC6">
        <w:rPr>
          <w:rFonts w:eastAsia="宋体"/>
        </w:rPr>
        <w:t xml:space="preserve">The molecular structure and the detailed synthetic route of the asymmetric NFREA </w:t>
      </w:r>
      <w:r w:rsidRPr="006D6FC6">
        <w:rPr>
          <w:rFonts w:eastAsia="宋体"/>
          <w:b/>
          <w:bCs/>
        </w:rPr>
        <w:t>TT-Ph-C6</w:t>
      </w:r>
      <w:r w:rsidRPr="006D6FC6">
        <w:rPr>
          <w:rFonts w:eastAsia="宋体"/>
        </w:rPr>
        <w:t xml:space="preserve"> are shown in </w:t>
      </w:r>
      <w:r w:rsidR="00D01A05">
        <w:rPr>
          <w:rFonts w:eastAsia="宋体"/>
          <w:b/>
          <w:bCs/>
        </w:rPr>
        <w:t>Fig.</w:t>
      </w:r>
      <w:r w:rsidRPr="006D6FC6">
        <w:rPr>
          <w:rFonts w:eastAsia="宋体"/>
          <w:b/>
          <w:bCs/>
        </w:rPr>
        <w:t xml:space="preserve"> 1a</w:t>
      </w:r>
      <w:r w:rsidRPr="006D6FC6">
        <w:rPr>
          <w:rFonts w:eastAsia="宋体"/>
        </w:rPr>
        <w:t xml:space="preserve"> and </w:t>
      </w:r>
      <w:r w:rsidRPr="006D6FC6">
        <w:rPr>
          <w:rFonts w:eastAsia="宋体"/>
          <w:b/>
          <w:bCs/>
        </w:rPr>
        <w:t>Scheme 1</w:t>
      </w:r>
      <w:r w:rsidRPr="006D6FC6">
        <w:rPr>
          <w:rFonts w:eastAsia="宋体"/>
        </w:rPr>
        <w:t xml:space="preserve">, respectively; whereas the chemical structure of the non-fused ring acceptor 2BTh-2F is illustrated in </w:t>
      </w:r>
      <w:r w:rsidR="00D01A05">
        <w:rPr>
          <w:rFonts w:eastAsia="宋体"/>
          <w:b/>
          <w:bCs/>
        </w:rPr>
        <w:t>Fig.</w:t>
      </w:r>
      <w:r w:rsidRPr="006D6FC6">
        <w:rPr>
          <w:rFonts w:eastAsia="宋体"/>
          <w:b/>
          <w:bCs/>
        </w:rPr>
        <w:t xml:space="preserve"> 1b</w:t>
      </w:r>
      <w:r w:rsidRPr="006D6FC6">
        <w:rPr>
          <w:rFonts w:eastAsia="宋体"/>
        </w:rPr>
        <w:t xml:space="preserve">. The detailed description of the synthetic procedure for </w:t>
      </w:r>
      <w:r w:rsidRPr="006D6FC6">
        <w:rPr>
          <w:rFonts w:eastAsia="宋体"/>
          <w:b/>
          <w:bCs/>
        </w:rPr>
        <w:t>TT-Ph-C6</w:t>
      </w:r>
      <w:r w:rsidRPr="006D6FC6">
        <w:rPr>
          <w:rFonts w:eastAsia="宋体"/>
        </w:rPr>
        <w:t xml:space="preserve"> is provided in the Supporting Information (SI). The synthesis initiated with an efficient Buchwald-Hartwig coupling reaction between 3,6-dibromothiophene[3,2-b]thiophene and 4-ethyl-N-hexylaniline, yielding compound 1 with a high yield of 88%. Subsequently, compound 1 was facilely transformed into compound 2 via a Hofmann alkylation reaction with 1-iodohexane, achieving a remarkable yield of 95%. This was followed by a bromination step, which converted compound 2 into compound 3 with a yield of 90%. Next, we employed the Stille reaction to couple compound 3 with tributyl(6-hexylthiophene[3,2-b]thiophene-2-yl)stannane, resulting in the successful synthesis of compound 4 without purification. Compound 5 was then efficiently converted into compound 4 through the Vilsmeier-Haack reaction, attaining a yield of 60% for tow step</w:t>
      </w:r>
      <w:r w:rsidR="00D63CBD" w:rsidRPr="006D6FC6">
        <w:rPr>
          <w:rFonts w:eastAsia="宋体" w:hint="eastAsia"/>
          <w:lang w:eastAsia="zh-CN"/>
        </w:rPr>
        <w:t>s</w:t>
      </w:r>
      <w:r w:rsidRPr="006D6FC6">
        <w:rPr>
          <w:rFonts w:eastAsia="宋体"/>
        </w:rPr>
        <w:t xml:space="preserve">. Finally, compound 5 was subjected to a Knoevenagel condensation reaction with 3-(1,1-dicyanomethylene)-5,6-difluoro-1-indanone, leading to the successful synthesis of the target acceptor </w:t>
      </w:r>
      <w:r w:rsidRPr="006D6FC6">
        <w:rPr>
          <w:rFonts w:eastAsia="宋体"/>
          <w:b/>
          <w:bCs/>
        </w:rPr>
        <w:t>TT-Ph-C6</w:t>
      </w:r>
      <w:r w:rsidRPr="006D6FC6">
        <w:rPr>
          <w:rFonts w:eastAsia="宋体"/>
        </w:rPr>
        <w:t xml:space="preserve"> with an impressive yield of 90%. </w:t>
      </w:r>
      <w:r w:rsidRPr="006D6FC6">
        <w:rPr>
          <w:rFonts w:eastAsia="宋体"/>
          <w:b/>
          <w:bCs/>
        </w:rPr>
        <w:t>TT-Ph-C6</w:t>
      </w:r>
      <w:r w:rsidRPr="006D6FC6">
        <w:rPr>
          <w:rFonts w:eastAsia="宋体"/>
        </w:rPr>
        <w:t xml:space="preserve"> exhibits good solubility in commonly used organic solvents, and its chemical structure has been rigorously verified by </w:t>
      </w:r>
      <w:r w:rsidRPr="006D6FC6">
        <w:rPr>
          <w:rFonts w:eastAsia="宋体"/>
          <w:vertAlign w:val="superscript"/>
        </w:rPr>
        <w:t>1</w:t>
      </w:r>
      <w:r w:rsidRPr="006D6FC6">
        <w:rPr>
          <w:rFonts w:eastAsia="宋体"/>
        </w:rPr>
        <w:t xml:space="preserve">H and </w:t>
      </w:r>
      <w:r w:rsidRPr="006D6FC6">
        <w:rPr>
          <w:rFonts w:eastAsia="宋体"/>
          <w:vertAlign w:val="superscript"/>
        </w:rPr>
        <w:t>13</w:t>
      </w:r>
      <w:r w:rsidRPr="006D6FC6">
        <w:rPr>
          <w:rFonts w:eastAsia="宋体"/>
        </w:rPr>
        <w:t>C NMR spectroscopy, as well as mass spectrometry.</w:t>
      </w:r>
    </w:p>
    <w:p w14:paraId="7569E147" w14:textId="77777777" w:rsidR="00D944A4" w:rsidRPr="006D6FC6" w:rsidRDefault="00ED05B9" w:rsidP="006D6FC6">
      <w:pPr>
        <w:spacing w:beforeLines="100" w:before="240" w:afterLines="100" w:after="240" w:line="360" w:lineRule="auto"/>
        <w:rPr>
          <w:b/>
          <w:sz w:val="28"/>
          <w:szCs w:val="28"/>
        </w:rPr>
      </w:pPr>
      <w:r w:rsidRPr="006D6FC6">
        <w:rPr>
          <w:b/>
          <w:sz w:val="28"/>
          <w:szCs w:val="28"/>
        </w:rPr>
        <w:t>3 Results and Discussion</w:t>
      </w:r>
    </w:p>
    <w:p w14:paraId="2E28D499" w14:textId="77777777" w:rsidR="00D944A4" w:rsidRPr="006D6FC6" w:rsidRDefault="00ED05B9" w:rsidP="006D6FC6">
      <w:pPr>
        <w:spacing w:beforeLines="100" w:before="240" w:afterLines="100" w:after="240" w:line="360" w:lineRule="auto"/>
        <w:rPr>
          <w:b/>
        </w:rPr>
      </w:pPr>
      <w:r w:rsidRPr="006D6FC6">
        <w:rPr>
          <w:b/>
        </w:rPr>
        <w:t xml:space="preserve">3.1 </w:t>
      </w:r>
      <w:r w:rsidR="001E067A" w:rsidRPr="006D6FC6">
        <w:rPr>
          <w:rFonts w:eastAsia="宋体"/>
          <w:b/>
        </w:rPr>
        <w:t>Photophysical and Electrochemical Properties</w:t>
      </w:r>
    </w:p>
    <w:p w14:paraId="50987530" w14:textId="36211E9D" w:rsidR="00D944A4" w:rsidRPr="006D6FC6" w:rsidRDefault="00C20DCD" w:rsidP="006D6FC6">
      <w:pPr>
        <w:widowControl w:val="0"/>
        <w:spacing w:beforeLines="100" w:before="240" w:after="100" w:line="360" w:lineRule="auto"/>
        <w:rPr>
          <w:rFonts w:eastAsia="宋体"/>
          <w:kern w:val="2"/>
          <w:lang w:val="en-US" w:eastAsia="zh-CN"/>
        </w:rPr>
      </w:pPr>
      <w:r w:rsidRPr="006D6FC6">
        <w:rPr>
          <w:rFonts w:eastAsia="宋体"/>
          <w:b/>
          <w:bCs/>
          <w:lang w:eastAsia="zh-CN"/>
        </w:rPr>
        <w:t>Figure 1c</w:t>
      </w:r>
      <w:r w:rsidRPr="006D6FC6">
        <w:rPr>
          <w:rFonts w:eastAsia="宋体"/>
          <w:lang w:eastAsia="zh-CN"/>
        </w:rPr>
        <w:t xml:space="preserve"> displays the normalized ultraviolet-visible (UV-vis) absorption spectra for the two acceptor molecules, </w:t>
      </w:r>
      <w:bookmarkStart w:id="3" w:name="OLE_LINK3"/>
      <w:r w:rsidRPr="006D6FC6">
        <w:rPr>
          <w:rFonts w:eastAsia="宋体"/>
          <w:b/>
          <w:bCs/>
          <w:lang w:eastAsia="zh-CN"/>
        </w:rPr>
        <w:t>TT-Ph-C6</w:t>
      </w:r>
      <w:bookmarkEnd w:id="3"/>
      <w:r w:rsidRPr="006D6FC6">
        <w:rPr>
          <w:rFonts w:eastAsia="宋体"/>
          <w:lang w:eastAsia="zh-CN"/>
        </w:rPr>
        <w:t xml:space="preserve"> and 2BTh-2F. In their solution states, </w:t>
      </w:r>
      <w:r w:rsidRPr="006D6FC6">
        <w:rPr>
          <w:rFonts w:eastAsia="宋体"/>
          <w:b/>
          <w:bCs/>
          <w:lang w:eastAsia="zh-CN"/>
        </w:rPr>
        <w:t>TT-Ph-C6</w:t>
      </w:r>
      <w:r w:rsidRPr="006D6FC6">
        <w:rPr>
          <w:rFonts w:eastAsia="宋体"/>
          <w:lang w:eastAsia="zh-CN"/>
        </w:rPr>
        <w:t xml:space="preserve"> and 2BTh-2F exhibit maximum absorption peaks at 707 and 726 nm, respectively. The stronger electron-donating ability of bis(4-butylphenyl)amino in 2BTh-2F, compared to alkylphenylamino in </w:t>
      </w:r>
      <w:r w:rsidRPr="006D6FC6">
        <w:rPr>
          <w:rFonts w:eastAsia="宋体"/>
          <w:b/>
          <w:bCs/>
          <w:lang w:eastAsia="zh-CN"/>
        </w:rPr>
        <w:t>TT-Ph-C6</w:t>
      </w:r>
      <w:r w:rsidRPr="006D6FC6">
        <w:rPr>
          <w:rFonts w:eastAsia="宋体"/>
          <w:lang w:eastAsia="zh-CN"/>
        </w:rPr>
        <w:t xml:space="preserve">, induces a more prominent intramolecular charge transfer (ICT) effect, leading to a red shift of the absorption peak of 2BTh-2F. When transitioning to the film state, the maximum absorption peaks of </w:t>
      </w:r>
      <w:r w:rsidRPr="006D6FC6">
        <w:rPr>
          <w:rFonts w:eastAsia="宋体"/>
          <w:b/>
          <w:bCs/>
          <w:lang w:eastAsia="zh-CN"/>
        </w:rPr>
        <w:t>TT-Ph-C6</w:t>
      </w:r>
      <w:r w:rsidRPr="006D6FC6">
        <w:rPr>
          <w:rFonts w:eastAsia="宋体"/>
          <w:lang w:eastAsia="zh-CN"/>
        </w:rPr>
        <w:t xml:space="preserve"> and 2BTh-2F shift to 760 and 773 nm, respectively. Notably, a distinct shoulder peak is observed at approximately 690 nm in the </w:t>
      </w:r>
      <w:r w:rsidRPr="006D6FC6">
        <w:rPr>
          <w:rFonts w:eastAsia="宋体"/>
          <w:b/>
          <w:bCs/>
          <w:lang w:eastAsia="zh-CN"/>
        </w:rPr>
        <w:t>TT-Ph-C6</w:t>
      </w:r>
      <w:r w:rsidRPr="006D6FC6">
        <w:rPr>
          <w:rFonts w:eastAsia="宋体"/>
          <w:lang w:eastAsia="zh-CN"/>
        </w:rPr>
        <w:t xml:space="preserve"> film absorption spectrum, suggesting a more advantageous molecular stacking for </w:t>
      </w:r>
      <w:r w:rsidRPr="006D6FC6">
        <w:rPr>
          <w:rFonts w:eastAsia="宋体"/>
          <w:b/>
          <w:bCs/>
          <w:lang w:eastAsia="zh-CN"/>
        </w:rPr>
        <w:t>TT-Ph-C6</w:t>
      </w:r>
      <w:r w:rsidRPr="006D6FC6">
        <w:rPr>
          <w:rFonts w:eastAsia="宋体"/>
          <w:lang w:eastAsia="zh-CN"/>
        </w:rPr>
        <w:t xml:space="preserve">. Utilizing the equation </w:t>
      </w:r>
      <w:r w:rsidRPr="006D6FC6">
        <w:rPr>
          <w:rFonts w:eastAsia="宋体"/>
          <w:i/>
          <w:iCs/>
          <w:lang w:eastAsia="zh-CN"/>
        </w:rPr>
        <w:t>E</w:t>
      </w:r>
      <w:r w:rsidRPr="006D6FC6">
        <w:rPr>
          <w:rFonts w:eastAsia="宋体"/>
          <w:vertAlign w:val="subscript"/>
          <w:lang w:eastAsia="zh-CN"/>
        </w:rPr>
        <w:t>g</w:t>
      </w:r>
      <w:r w:rsidRPr="006D6FC6">
        <w:rPr>
          <w:rFonts w:eastAsia="宋体"/>
          <w:vertAlign w:val="superscript"/>
          <w:lang w:eastAsia="zh-CN"/>
        </w:rPr>
        <w:t>opt</w:t>
      </w:r>
      <w:r w:rsidRPr="006D6FC6">
        <w:rPr>
          <w:rFonts w:eastAsia="宋体"/>
          <w:lang w:eastAsia="zh-CN"/>
        </w:rPr>
        <w:t xml:space="preserve"> = 1240/</w:t>
      </w:r>
      <w:r w:rsidRPr="006D6FC6">
        <w:rPr>
          <w:rFonts w:eastAsia="宋体"/>
          <w:i/>
          <w:iCs/>
          <w:lang w:eastAsia="zh-CN"/>
        </w:rPr>
        <w:t>λ</w:t>
      </w:r>
      <w:r w:rsidRPr="006D6FC6">
        <w:rPr>
          <w:rFonts w:eastAsia="宋体"/>
          <w:vertAlign w:val="subscript"/>
          <w:lang w:eastAsia="zh-CN"/>
        </w:rPr>
        <w:t>onset</w:t>
      </w:r>
      <w:r w:rsidRPr="006D6FC6">
        <w:rPr>
          <w:rFonts w:eastAsia="宋体"/>
          <w:lang w:eastAsia="zh-CN"/>
        </w:rPr>
        <w:t xml:space="preserve">, we subsequently determined the optical bandgaps of </w:t>
      </w:r>
      <w:r w:rsidRPr="006D6FC6">
        <w:rPr>
          <w:rFonts w:eastAsia="宋体"/>
          <w:b/>
          <w:bCs/>
          <w:lang w:eastAsia="zh-CN"/>
        </w:rPr>
        <w:t>TT-Ph-C6</w:t>
      </w:r>
      <w:r w:rsidRPr="006D6FC6">
        <w:rPr>
          <w:rFonts w:eastAsia="宋体"/>
          <w:lang w:eastAsia="zh-CN"/>
        </w:rPr>
        <w:t xml:space="preserve"> and 2BTh-2F to be 1.42 and 1.39 eV, respectively. Concurrently, electrochemical cyclic voltammetry (CV) was employed to assess the energy levels of the NFREAs (see </w:t>
      </w:r>
      <w:r w:rsidR="00D01A05">
        <w:rPr>
          <w:rFonts w:eastAsia="宋体"/>
          <w:b/>
          <w:bCs/>
          <w:lang w:eastAsia="zh-CN"/>
        </w:rPr>
        <w:t>Fig.</w:t>
      </w:r>
      <w:r w:rsidRPr="006D6FC6">
        <w:rPr>
          <w:rFonts w:eastAsia="宋体"/>
          <w:b/>
          <w:bCs/>
          <w:lang w:eastAsia="zh-CN"/>
        </w:rPr>
        <w:t xml:space="preserve"> S1</w:t>
      </w:r>
      <w:r w:rsidRPr="006D6FC6">
        <w:rPr>
          <w:rFonts w:eastAsia="宋体"/>
          <w:lang w:eastAsia="zh-CN"/>
        </w:rPr>
        <w:t xml:space="preserve"> for details). As illustrated in </w:t>
      </w:r>
      <w:r w:rsidR="00D01A05">
        <w:rPr>
          <w:rFonts w:eastAsia="宋体"/>
          <w:b/>
          <w:bCs/>
          <w:lang w:eastAsia="zh-CN"/>
        </w:rPr>
        <w:t>Fig.</w:t>
      </w:r>
      <w:r w:rsidRPr="006D6FC6">
        <w:rPr>
          <w:rFonts w:eastAsia="宋体"/>
          <w:b/>
          <w:bCs/>
          <w:lang w:eastAsia="zh-CN"/>
        </w:rPr>
        <w:t xml:space="preserve"> 1d</w:t>
      </w:r>
      <w:r w:rsidRPr="006D6FC6">
        <w:rPr>
          <w:rFonts w:eastAsia="宋体"/>
          <w:lang w:eastAsia="zh-CN"/>
        </w:rPr>
        <w:t xml:space="preserve"> and Table 1, the highest occupied molecular orbital (HOMO) and lowest unoccupied molecular orbital (LUMO) energy levels for </w:t>
      </w:r>
      <w:r w:rsidR="00D81E2B" w:rsidRPr="006D6FC6">
        <w:rPr>
          <w:rFonts w:eastAsia="宋体"/>
          <w:b/>
          <w:bCs/>
          <w:lang w:eastAsia="zh-CN"/>
        </w:rPr>
        <w:t>TT-Ph-C6</w:t>
      </w:r>
      <w:r w:rsidRPr="006D6FC6">
        <w:rPr>
          <w:rFonts w:eastAsia="宋体"/>
          <w:lang w:eastAsia="zh-CN"/>
        </w:rPr>
        <w:t xml:space="preserve"> and 2BTh-2F are −5.57/4.00 and −5.46/−3.99 eV, respectively.</w:t>
      </w:r>
    </w:p>
    <w:p w14:paraId="5A6BE547" w14:textId="5C20E7C4" w:rsidR="00D944A4" w:rsidRPr="006D6FC6" w:rsidRDefault="00ED05B9" w:rsidP="006D6FC6">
      <w:pPr>
        <w:spacing w:beforeLines="100" w:before="240" w:afterLines="100" w:after="240" w:line="360" w:lineRule="auto"/>
        <w:rPr>
          <w:b/>
          <w:bCs/>
          <w:lang w:val="en-US"/>
        </w:rPr>
      </w:pPr>
      <w:bookmarkStart w:id="4" w:name="_Hlk199881880"/>
      <w:r w:rsidRPr="006D6FC6">
        <w:rPr>
          <w:b/>
          <w:bCs/>
          <w:lang w:val="en-US"/>
        </w:rPr>
        <w:t xml:space="preserve">3.2 </w:t>
      </w:r>
      <w:r w:rsidR="00A66C5B" w:rsidRPr="006D6FC6">
        <w:rPr>
          <w:rFonts w:eastAsia="宋体"/>
          <w:b/>
        </w:rPr>
        <w:t xml:space="preserve">Single </w:t>
      </w:r>
      <w:r w:rsidR="00D01A05" w:rsidRPr="006D6FC6">
        <w:rPr>
          <w:rFonts w:eastAsia="宋体"/>
          <w:b/>
        </w:rPr>
        <w:t>C</w:t>
      </w:r>
      <w:r w:rsidR="00A66C5B" w:rsidRPr="006D6FC6">
        <w:rPr>
          <w:rFonts w:eastAsia="宋体"/>
          <w:b/>
        </w:rPr>
        <w:t xml:space="preserve">rystal </w:t>
      </w:r>
      <w:r w:rsidR="00D01A05" w:rsidRPr="006D6FC6">
        <w:rPr>
          <w:rFonts w:eastAsia="宋体"/>
          <w:b/>
        </w:rPr>
        <w:t>A</w:t>
      </w:r>
      <w:r w:rsidR="00A66C5B" w:rsidRPr="006D6FC6">
        <w:rPr>
          <w:rFonts w:eastAsia="宋体"/>
          <w:b/>
        </w:rPr>
        <w:t>nalysis</w:t>
      </w:r>
      <w:r w:rsidR="008E70F5" w:rsidRPr="006D6FC6">
        <w:t xml:space="preserve"> </w:t>
      </w:r>
      <w:r w:rsidR="008E70F5" w:rsidRPr="006D6FC6">
        <w:rPr>
          <w:rFonts w:eastAsia="宋体"/>
          <w:b/>
        </w:rPr>
        <w:t>Photovoltaic Properties and Stability</w:t>
      </w:r>
    </w:p>
    <w:bookmarkEnd w:id="4"/>
    <w:p w14:paraId="5C65187A" w14:textId="7E521740" w:rsidR="00D944A4" w:rsidRPr="006D6FC6" w:rsidRDefault="00A66C5B" w:rsidP="006D6FC6">
      <w:pPr>
        <w:spacing w:beforeLines="100" w:before="240" w:afterLines="100" w:after="240" w:line="360" w:lineRule="auto"/>
        <w:rPr>
          <w:lang w:val="en-US" w:eastAsia="zh-CN"/>
        </w:rPr>
      </w:pPr>
      <w:r w:rsidRPr="006D6FC6">
        <w:rPr>
          <w:rFonts w:eastAsia="宋体"/>
          <w:bCs/>
        </w:rPr>
        <w:t xml:space="preserve">The crystal structure of acceptor molecules exerts a significant influence on the photovoltaic performance of OSCs. To delve deeply into the single-crystal structural characteristics of these acceptor molecules, we conducted X-ray diffraction measurements and analysis on the </w:t>
      </w:r>
      <w:r w:rsidRPr="006D6FC6">
        <w:rPr>
          <w:rFonts w:eastAsia="宋体"/>
          <w:b/>
        </w:rPr>
        <w:t>TT-Ph-C6</w:t>
      </w:r>
      <w:r w:rsidRPr="006D6FC6">
        <w:rPr>
          <w:rFonts w:eastAsia="宋体"/>
          <w:bCs/>
        </w:rPr>
        <w:t xml:space="preserve"> single crystal. As depicted in </w:t>
      </w:r>
      <w:r w:rsidR="00D01A05">
        <w:rPr>
          <w:rFonts w:eastAsia="宋体"/>
          <w:b/>
        </w:rPr>
        <w:t>Fig.</w:t>
      </w:r>
      <w:r w:rsidRPr="006D6FC6">
        <w:rPr>
          <w:rFonts w:eastAsia="宋体"/>
          <w:b/>
        </w:rPr>
        <w:t xml:space="preserve"> 2a</w:t>
      </w:r>
      <w:r w:rsidR="00D01A05">
        <w:rPr>
          <w:rFonts w:eastAsia="宋体" w:hint="eastAsia"/>
          <w:b/>
          <w:lang w:eastAsia="zh-CN"/>
        </w:rPr>
        <w:t xml:space="preserve">, </w:t>
      </w:r>
      <w:r w:rsidRPr="006D6FC6">
        <w:rPr>
          <w:rFonts w:eastAsia="宋体"/>
          <w:b/>
        </w:rPr>
        <w:t>b</w:t>
      </w:r>
      <w:r w:rsidRPr="006D6FC6">
        <w:rPr>
          <w:rFonts w:eastAsia="宋体"/>
          <w:bCs/>
        </w:rPr>
        <w:t xml:space="preserve">, the acceptor adopts two distinct conformations within the unit cell, designated as </w:t>
      </w:r>
      <w:r w:rsidRPr="006D6FC6">
        <w:rPr>
          <w:rFonts w:eastAsia="宋体"/>
          <w:bCs/>
          <w:i/>
          <w:iCs/>
        </w:rPr>
        <w:t>α</w:t>
      </w:r>
      <w:r w:rsidRPr="006D6FC6">
        <w:rPr>
          <w:rFonts w:eastAsia="宋体"/>
          <w:bCs/>
        </w:rPr>
        <w:t xml:space="preserve"> and </w:t>
      </w:r>
      <w:r w:rsidRPr="006D6FC6">
        <w:rPr>
          <w:rFonts w:eastAsia="宋体"/>
          <w:bCs/>
          <w:i/>
          <w:iCs/>
        </w:rPr>
        <w:t>β</w:t>
      </w:r>
      <w:r w:rsidRPr="006D6FC6">
        <w:rPr>
          <w:rFonts w:eastAsia="宋体"/>
          <w:bCs/>
        </w:rPr>
        <w:t xml:space="preserve">. Notably, in both the </w:t>
      </w:r>
      <w:r w:rsidRPr="006D6FC6">
        <w:rPr>
          <w:rFonts w:eastAsia="宋体"/>
          <w:bCs/>
          <w:i/>
          <w:iCs/>
        </w:rPr>
        <w:t>α</w:t>
      </w:r>
      <w:r w:rsidRPr="006D6FC6">
        <w:rPr>
          <w:rFonts w:eastAsia="宋体"/>
          <w:bCs/>
        </w:rPr>
        <w:t xml:space="preserve"> and </w:t>
      </w:r>
      <w:r w:rsidRPr="006D6FC6">
        <w:rPr>
          <w:rFonts w:eastAsia="宋体"/>
          <w:bCs/>
          <w:i/>
          <w:iCs/>
        </w:rPr>
        <w:t>β</w:t>
      </w:r>
      <w:r w:rsidRPr="006D6FC6">
        <w:rPr>
          <w:rFonts w:eastAsia="宋体"/>
          <w:bCs/>
        </w:rPr>
        <w:t xml:space="preserve"> conformations, the torsion angles between the external thiophene[3,2-b]thiophene moieties and the terminal groups are remarkably small, measuring 0.8° and 4.7° respectively, thereby demonstrating the high structural stability. Upon further examination, it was revealed that the intramolecular S···O distances in the </w:t>
      </w:r>
      <w:r w:rsidRPr="006D6FC6">
        <w:rPr>
          <w:rFonts w:eastAsia="宋体"/>
          <w:bCs/>
          <w:i/>
          <w:iCs/>
        </w:rPr>
        <w:t>α</w:t>
      </w:r>
      <w:r w:rsidRPr="006D6FC6">
        <w:rPr>
          <w:rFonts w:eastAsia="宋体"/>
          <w:bCs/>
        </w:rPr>
        <w:t xml:space="preserve"> and </w:t>
      </w:r>
      <w:r w:rsidRPr="006D6FC6">
        <w:rPr>
          <w:rFonts w:eastAsia="宋体"/>
          <w:bCs/>
          <w:i/>
          <w:iCs/>
        </w:rPr>
        <w:t>β</w:t>
      </w:r>
      <w:r w:rsidRPr="006D6FC6">
        <w:rPr>
          <w:rFonts w:eastAsia="宋体"/>
          <w:bCs/>
        </w:rPr>
        <w:t xml:space="preserve"> conformations are 2.73</w:t>
      </w:r>
      <w:r w:rsidR="00D01A05">
        <w:rPr>
          <w:rFonts w:eastAsia="宋体" w:hint="eastAsia"/>
          <w:bCs/>
          <w:lang w:eastAsia="zh-CN"/>
        </w:rPr>
        <w:t xml:space="preserve"> </w:t>
      </w:r>
      <w:r w:rsidRPr="006D6FC6">
        <w:rPr>
          <w:rFonts w:eastAsia="宋体"/>
          <w:bCs/>
        </w:rPr>
        <w:t>and 2.68 Å, respectively, which are considerably lower than the sum of the van der Waals radii for sulfur and oxygen (</w:t>
      </w:r>
      <w:r w:rsidRPr="006D6FC6">
        <w:rPr>
          <w:rFonts w:eastAsia="宋体"/>
          <w:bCs/>
          <w:i/>
          <w:iCs/>
        </w:rPr>
        <w:t>r</w:t>
      </w:r>
      <w:r w:rsidRPr="006D6FC6">
        <w:rPr>
          <w:rFonts w:eastAsia="宋体"/>
          <w:bCs/>
          <w:vertAlign w:val="subscript"/>
        </w:rPr>
        <w:t>w, S···N</w:t>
      </w:r>
      <w:r w:rsidRPr="006D6FC6">
        <w:rPr>
          <w:rFonts w:eastAsia="宋体"/>
          <w:bCs/>
        </w:rPr>
        <w:t xml:space="preserve"> = 3.25 Å)</w:t>
      </w:r>
      <w:r w:rsidR="00D01A05">
        <w:rPr>
          <w:rFonts w:eastAsia="宋体" w:hint="eastAsia"/>
          <w:bCs/>
          <w:lang w:eastAsia="zh-CN"/>
        </w:rPr>
        <w:t xml:space="preserve"> </w:t>
      </w:r>
      <w:r w:rsidRPr="006D6FC6">
        <w:rPr>
          <w:rFonts w:eastAsia="宋体"/>
          <w:bCs/>
        </w:rPr>
        <w:t xml:space="preserve">[32]. This provides compelling evidence for the presence of pronounced S···O=C interactions within the molecule. Moreover, we determined the S···N distances in the </w:t>
      </w:r>
      <w:r w:rsidRPr="006D6FC6">
        <w:rPr>
          <w:rFonts w:eastAsia="宋体"/>
          <w:bCs/>
          <w:i/>
          <w:iCs/>
        </w:rPr>
        <w:t>α</w:t>
      </w:r>
      <w:r w:rsidRPr="006D6FC6">
        <w:rPr>
          <w:rFonts w:eastAsia="宋体"/>
          <w:bCs/>
        </w:rPr>
        <w:t xml:space="preserve"> and </w:t>
      </w:r>
      <w:r w:rsidRPr="006D6FC6">
        <w:rPr>
          <w:rFonts w:eastAsia="宋体"/>
          <w:bCs/>
          <w:i/>
          <w:iCs/>
        </w:rPr>
        <w:t>β</w:t>
      </w:r>
      <w:r w:rsidRPr="006D6FC6">
        <w:rPr>
          <w:rFonts w:eastAsia="宋体"/>
          <w:bCs/>
        </w:rPr>
        <w:t xml:space="preserve"> conformations to be 2.97 and 3.04 Å, respectively, both of which are substantially below the sum of the van der Waals radii for sulfur and nitrogen (</w:t>
      </w:r>
      <w:r w:rsidRPr="006D6FC6">
        <w:rPr>
          <w:rFonts w:eastAsia="宋体"/>
          <w:bCs/>
          <w:i/>
          <w:iCs/>
        </w:rPr>
        <w:t>r</w:t>
      </w:r>
      <w:r w:rsidRPr="006D6FC6">
        <w:rPr>
          <w:rFonts w:eastAsia="宋体"/>
          <w:bCs/>
          <w:vertAlign w:val="subscript"/>
        </w:rPr>
        <w:t>w, S···N</w:t>
      </w:r>
      <w:r w:rsidRPr="006D6FC6">
        <w:rPr>
          <w:rFonts w:eastAsia="宋体"/>
          <w:bCs/>
        </w:rPr>
        <w:t xml:space="preserve"> = 3.50 Å), indicating the occurrence of S···N non-covalent interactions. The single crystal structure of </w:t>
      </w:r>
      <w:r w:rsidRPr="006D6FC6">
        <w:rPr>
          <w:rFonts w:eastAsia="宋体"/>
          <w:b/>
        </w:rPr>
        <w:t>TT-Ph-C6</w:t>
      </w:r>
      <w:r w:rsidRPr="006D6FC6">
        <w:rPr>
          <w:rFonts w:eastAsia="宋体"/>
          <w:bCs/>
        </w:rPr>
        <w:t xml:space="preserve">, as depicted in </w:t>
      </w:r>
      <w:r w:rsidR="00D01A05">
        <w:rPr>
          <w:rFonts w:eastAsia="宋体"/>
          <w:b/>
        </w:rPr>
        <w:t>Fig</w:t>
      </w:r>
      <w:r w:rsidR="00D01A05">
        <w:rPr>
          <w:rFonts w:eastAsia="宋体" w:hint="eastAsia"/>
          <w:b/>
          <w:lang w:eastAsia="zh-CN"/>
        </w:rPr>
        <w:t>s</w:t>
      </w:r>
      <w:r w:rsidR="00D01A05">
        <w:rPr>
          <w:rFonts w:eastAsia="宋体"/>
          <w:b/>
        </w:rPr>
        <w:t>.</w:t>
      </w:r>
      <w:r w:rsidRPr="006D6FC6">
        <w:rPr>
          <w:rFonts w:eastAsia="宋体"/>
          <w:b/>
        </w:rPr>
        <w:t xml:space="preserve"> 2c</w:t>
      </w:r>
      <w:r w:rsidRPr="006D6FC6">
        <w:rPr>
          <w:rFonts w:eastAsia="宋体"/>
          <w:bCs/>
        </w:rPr>
        <w:t xml:space="preserve"> and </w:t>
      </w:r>
      <w:r w:rsidRPr="006D6FC6">
        <w:rPr>
          <w:rFonts w:eastAsia="宋体"/>
          <w:b/>
        </w:rPr>
        <w:t>S2</w:t>
      </w:r>
      <w:r w:rsidRPr="006D6FC6">
        <w:rPr>
          <w:rFonts w:eastAsia="宋体"/>
          <w:bCs/>
        </w:rPr>
        <w:t xml:space="preserve">, illustrates the coexistence of two conformations and provides insights into how asymmetric side chain structures influence molecular interactions. Within the crystal cell, two distinct π-π stacking modes are identified between adjacent molecules. Mode 1 features parallel-sliding π-π stacking between pairs of </w:t>
      </w:r>
      <w:r w:rsidRPr="006D6FC6">
        <w:rPr>
          <w:rFonts w:eastAsia="宋体"/>
          <w:bCs/>
          <w:i/>
          <w:iCs/>
        </w:rPr>
        <w:t>α</w:t>
      </w:r>
      <w:r w:rsidRPr="006D6FC6">
        <w:rPr>
          <w:rFonts w:eastAsia="宋体"/>
          <w:bCs/>
        </w:rPr>
        <w:t xml:space="preserve"> conformations, while Mode 2 involves π-π stacking between one </w:t>
      </w:r>
      <w:r w:rsidRPr="006D6FC6">
        <w:rPr>
          <w:rFonts w:eastAsia="宋体"/>
          <w:bCs/>
          <w:i/>
          <w:iCs/>
        </w:rPr>
        <w:t>α</w:t>
      </w:r>
      <w:r w:rsidRPr="006D6FC6">
        <w:rPr>
          <w:rFonts w:eastAsia="宋体"/>
          <w:bCs/>
        </w:rPr>
        <w:t xml:space="preserve"> and one </w:t>
      </w:r>
      <w:r w:rsidRPr="006D6FC6">
        <w:rPr>
          <w:rFonts w:eastAsia="宋体"/>
          <w:bCs/>
          <w:i/>
          <w:iCs/>
        </w:rPr>
        <w:t>β</w:t>
      </w:r>
      <w:r w:rsidRPr="006D6FC6">
        <w:rPr>
          <w:rFonts w:eastAsia="宋体"/>
          <w:bCs/>
        </w:rPr>
        <w:t xml:space="preserve"> conformation. The respective π-π stacking distances (</w:t>
      </w:r>
      <w:r w:rsidRPr="006D6FC6">
        <w:rPr>
          <w:rFonts w:eastAsia="宋体"/>
          <w:bCs/>
          <w:i/>
          <w:iCs/>
        </w:rPr>
        <w:t>d</w:t>
      </w:r>
      <w:r w:rsidRPr="006D6FC6">
        <w:rPr>
          <w:rFonts w:eastAsia="宋体"/>
          <w:bCs/>
          <w:vertAlign w:val="subscript"/>
        </w:rPr>
        <w:t>π-π</w:t>
      </w:r>
      <w:r w:rsidRPr="006D6FC6">
        <w:rPr>
          <w:rFonts w:eastAsia="宋体"/>
          <w:bCs/>
        </w:rPr>
        <w:t xml:space="preserve">) for Modes 1 and 2 are 3.21 and 3.38 Å. Additionally, S···π interactions are observed, with distances of 3.44 Å between adjacent </w:t>
      </w:r>
      <w:r w:rsidRPr="006D6FC6">
        <w:rPr>
          <w:rFonts w:eastAsia="宋体"/>
          <w:bCs/>
          <w:i/>
          <w:iCs/>
        </w:rPr>
        <w:t>α</w:t>
      </w:r>
      <w:r w:rsidRPr="006D6FC6">
        <w:rPr>
          <w:rFonts w:eastAsia="宋体"/>
          <w:bCs/>
        </w:rPr>
        <w:t xml:space="preserve"> conformations and 3.48 Å between </w:t>
      </w:r>
      <w:r w:rsidRPr="006D6FC6">
        <w:rPr>
          <w:rFonts w:eastAsia="宋体"/>
          <w:bCs/>
          <w:i/>
          <w:iCs/>
        </w:rPr>
        <w:t>α</w:t>
      </w:r>
      <w:r w:rsidRPr="006D6FC6">
        <w:rPr>
          <w:rFonts w:eastAsia="宋体"/>
          <w:bCs/>
        </w:rPr>
        <w:t xml:space="preserve"> and </w:t>
      </w:r>
      <w:r w:rsidRPr="006D6FC6">
        <w:rPr>
          <w:rFonts w:eastAsia="宋体"/>
          <w:bCs/>
          <w:i/>
          <w:iCs/>
        </w:rPr>
        <w:t>β</w:t>
      </w:r>
      <w:r w:rsidRPr="006D6FC6">
        <w:rPr>
          <w:rFonts w:eastAsia="宋体"/>
          <w:bCs/>
        </w:rPr>
        <w:t xml:space="preserve"> conformations. As illustrated in </w:t>
      </w:r>
      <w:r w:rsidR="00D01A05">
        <w:rPr>
          <w:rFonts w:eastAsia="宋体"/>
          <w:b/>
        </w:rPr>
        <w:t>Fig.</w:t>
      </w:r>
      <w:r w:rsidRPr="006D6FC6">
        <w:rPr>
          <w:rFonts w:eastAsia="宋体"/>
          <w:b/>
        </w:rPr>
        <w:t xml:space="preserve"> 2d</w:t>
      </w:r>
      <w:r w:rsidRPr="006D6FC6">
        <w:rPr>
          <w:rFonts w:eastAsia="宋体"/>
          <w:bCs/>
        </w:rPr>
        <w:t>, the crystal structure exhibits a three-dimensional molecular stacking network interlaced with parallelogram-shaped voids measuring 20.44×16.07 Å</w:t>
      </w:r>
      <w:r w:rsidR="00D01A05" w:rsidRPr="00D55E20">
        <w:rPr>
          <w:rFonts w:eastAsia="宋体" w:hint="eastAsia"/>
          <w:bCs/>
          <w:vertAlign w:val="superscript"/>
          <w:lang w:eastAsia="zh-CN"/>
        </w:rPr>
        <w:t>2</w:t>
      </w:r>
      <w:r w:rsidRPr="006D6FC6">
        <w:rPr>
          <w:rFonts w:eastAsia="宋体"/>
          <w:bCs/>
        </w:rPr>
        <w:t>. This architecture confers stability and compactness to the material, facilitating the formation of a more efficient three-dimensional electron transport network, which is crucial for enhancing electron mobility. The single crystal structure analysis of 2BTh-2F, functionalized with bis(4-butylphenyl)amino side groups, reveals a characteristic interfacial torsion angle of 6.13° between its thiophene backbone segment and the terminal thiophene[3,2-b] heterocyclic unit, reflecting subtle conformational adjustments within the molecular architecture. Intramolecular stabilization is mediated by two distinct noncovalent interactions: an S···N contact (3.07 Å) and a notably shorter S···O interaction (2.78 Å), both contributing to structural rigidity. Furthermore, the crystalline packing arrangement features an interplanar π–π stacking distance of 3.39 Å between adjacent molecular planes</w:t>
      </w:r>
      <w:r w:rsidR="00D01A05">
        <w:rPr>
          <w:rFonts w:eastAsia="宋体" w:hint="eastAsia"/>
          <w:bCs/>
          <w:lang w:eastAsia="zh-CN"/>
        </w:rPr>
        <w:t xml:space="preserve"> </w:t>
      </w:r>
      <w:r w:rsidRPr="006D6FC6">
        <w:rPr>
          <w:rFonts w:eastAsia="宋体"/>
          <w:bCs/>
        </w:rPr>
        <w:t>[29]</w:t>
      </w:r>
      <w:r w:rsidR="00D01A05">
        <w:rPr>
          <w:rFonts w:eastAsia="宋体" w:hint="eastAsia"/>
          <w:bCs/>
          <w:lang w:eastAsia="zh-CN"/>
        </w:rPr>
        <w:t>.</w:t>
      </w:r>
      <w:r w:rsidRPr="006D6FC6">
        <w:rPr>
          <w:rFonts w:eastAsia="宋体"/>
          <w:bCs/>
        </w:rPr>
        <w:t xml:space="preserve"> Comparative structural analysis highlights that </w:t>
      </w:r>
      <w:r w:rsidRPr="006D6FC6">
        <w:rPr>
          <w:rFonts w:eastAsia="宋体"/>
          <w:b/>
        </w:rPr>
        <w:t>TT-Ph-C6</w:t>
      </w:r>
      <w:r w:rsidRPr="006D6FC6">
        <w:rPr>
          <w:rFonts w:eastAsia="宋体"/>
          <w:bCs/>
        </w:rPr>
        <w:t xml:space="preserve"> demonstrates enhanced noncovalent synergy, with both intensified S···O/S···N interactions and an optimized molecular backbone planarity. Moreover, </w:t>
      </w:r>
      <w:r w:rsidRPr="006D6FC6">
        <w:rPr>
          <w:rFonts w:eastAsia="宋体"/>
          <w:b/>
        </w:rPr>
        <w:t>TT-Ph-C6</w:t>
      </w:r>
      <w:r w:rsidRPr="006D6FC6">
        <w:rPr>
          <w:rFonts w:eastAsia="宋体"/>
          <w:bCs/>
        </w:rPr>
        <w:t xml:space="preserve"> has a smaller π–π stacking distance, indicative of a more compact π–π packing arrangement. These characteristics endow </w:t>
      </w:r>
      <w:r w:rsidRPr="006D6FC6">
        <w:rPr>
          <w:rFonts w:eastAsia="宋体"/>
          <w:b/>
        </w:rPr>
        <w:t>TT-Ph-C6</w:t>
      </w:r>
      <w:r w:rsidRPr="006D6FC6">
        <w:rPr>
          <w:rFonts w:eastAsia="宋体"/>
          <w:bCs/>
        </w:rPr>
        <w:t xml:space="preserve"> with a more robust and efficient three-dimensional electron transport network, which is conducive to enhancing charge transfer efficiency—a critical factor for achieving high </w:t>
      </w:r>
      <w:r w:rsidRPr="006D6FC6">
        <w:rPr>
          <w:rFonts w:eastAsia="宋体"/>
          <w:bCs/>
          <w:i/>
          <w:iCs/>
        </w:rPr>
        <w:t>J</w:t>
      </w:r>
      <w:r w:rsidRPr="006D6FC6">
        <w:rPr>
          <w:rFonts w:eastAsia="宋体"/>
          <w:bCs/>
          <w:vertAlign w:val="subscript"/>
        </w:rPr>
        <w:t>sc</w:t>
      </w:r>
      <w:r w:rsidRPr="006D6FC6">
        <w:rPr>
          <w:rFonts w:eastAsia="宋体"/>
          <w:bCs/>
        </w:rPr>
        <w:t xml:space="preserve"> and FF in OSCs (vide infra).</w:t>
      </w:r>
    </w:p>
    <w:p w14:paraId="60232C0F" w14:textId="77777777" w:rsidR="00D944A4" w:rsidRPr="006D6FC6" w:rsidRDefault="008E70F5" w:rsidP="006D6FC6">
      <w:pPr>
        <w:spacing w:beforeLines="100" w:before="240" w:afterLines="100" w:after="240" w:line="360" w:lineRule="auto"/>
        <w:rPr>
          <w:b/>
          <w:bCs/>
          <w:lang w:val="en-US"/>
        </w:rPr>
      </w:pPr>
      <w:r w:rsidRPr="006D6FC6">
        <w:rPr>
          <w:b/>
          <w:bCs/>
          <w:lang w:val="en-US"/>
        </w:rPr>
        <w:t xml:space="preserve">3.3 </w:t>
      </w:r>
      <w:bookmarkStart w:id="5" w:name="_Hlk199883636"/>
      <w:r w:rsidRPr="006D6FC6">
        <w:rPr>
          <w:rFonts w:eastAsia="宋体"/>
          <w:b/>
        </w:rPr>
        <w:t xml:space="preserve">Photovoltaic Properties </w:t>
      </w:r>
      <w:bookmarkEnd w:id="5"/>
    </w:p>
    <w:p w14:paraId="75BC7A08" w14:textId="40BA96E6" w:rsidR="00D944A4" w:rsidRPr="006D6FC6" w:rsidRDefault="008E70F5" w:rsidP="006D6FC6">
      <w:pPr>
        <w:widowControl w:val="0"/>
        <w:spacing w:beforeLines="100" w:before="240" w:after="100" w:line="360" w:lineRule="auto"/>
        <w:rPr>
          <w:rFonts w:eastAsia="Times New Roman"/>
          <w:kern w:val="2"/>
          <w:sz w:val="22"/>
          <w:szCs w:val="22"/>
          <w:lang w:eastAsia="zh-CN"/>
        </w:rPr>
      </w:pPr>
      <w:r w:rsidRPr="006D6FC6">
        <w:rPr>
          <w:rFonts w:eastAsia="Times New Roman"/>
          <w:kern w:val="2"/>
          <w:lang w:eastAsia="zh-CN"/>
        </w:rPr>
        <w:t xml:space="preserve">Conventional OSCs, configured with ITO/2PACz/polymer:acceptor/PDINN/Ag, were fabricated to assess the photovoltaic performances of </w:t>
      </w:r>
      <w:r w:rsidRPr="006D6FC6">
        <w:rPr>
          <w:rFonts w:eastAsia="Times New Roman"/>
          <w:b/>
          <w:bCs/>
          <w:kern w:val="2"/>
          <w:lang w:eastAsia="zh-CN"/>
        </w:rPr>
        <w:t>TT-Ph-C6</w:t>
      </w:r>
      <w:r w:rsidRPr="006D6FC6">
        <w:rPr>
          <w:rFonts w:eastAsia="Times New Roman"/>
          <w:kern w:val="2"/>
          <w:lang w:eastAsia="zh-CN"/>
        </w:rPr>
        <w:t xml:space="preserve"> and 2BTh-2F. The classic polymer D18 was selected as the donor owing to its compatible energy level and complementary absorption with the acceptors. Detailed optimization steps for fabricating optimal devices, including the selection of the D/A ratio, annealing temperature, and additives, are provided in the supplementary information. The current density-voltage (</w:t>
      </w:r>
      <w:r w:rsidRPr="006D6FC6">
        <w:rPr>
          <w:rFonts w:eastAsia="Times New Roman"/>
          <w:i/>
          <w:iCs/>
          <w:kern w:val="2"/>
          <w:lang w:eastAsia="zh-CN"/>
        </w:rPr>
        <w:t>J-V</w:t>
      </w:r>
      <w:r w:rsidRPr="006D6FC6">
        <w:rPr>
          <w:rFonts w:eastAsia="Times New Roman"/>
          <w:kern w:val="2"/>
          <w:lang w:eastAsia="zh-CN"/>
        </w:rPr>
        <w:t xml:space="preserve">) characteristic curves for the optimized devices are depicted in </w:t>
      </w:r>
      <w:r w:rsidR="00D01A05">
        <w:rPr>
          <w:rFonts w:eastAsia="Times New Roman"/>
          <w:b/>
          <w:bCs/>
          <w:kern w:val="2"/>
          <w:lang w:eastAsia="zh-CN"/>
        </w:rPr>
        <w:t>Fig.</w:t>
      </w:r>
      <w:r w:rsidRPr="006D6FC6">
        <w:rPr>
          <w:rFonts w:eastAsia="Times New Roman"/>
          <w:b/>
          <w:bCs/>
          <w:kern w:val="2"/>
          <w:lang w:eastAsia="zh-CN"/>
        </w:rPr>
        <w:t xml:space="preserve"> 3a</w:t>
      </w:r>
      <w:r w:rsidRPr="006D6FC6">
        <w:rPr>
          <w:rFonts w:eastAsia="Times New Roman"/>
          <w:kern w:val="2"/>
          <w:lang w:eastAsia="zh-CN"/>
        </w:rPr>
        <w:t xml:space="preserve"> and summarized in </w:t>
      </w:r>
      <w:r w:rsidRPr="006D6FC6">
        <w:rPr>
          <w:rFonts w:eastAsia="Times New Roman"/>
          <w:b/>
          <w:bCs/>
          <w:kern w:val="2"/>
          <w:lang w:eastAsia="zh-CN"/>
        </w:rPr>
        <w:t>Table 2</w:t>
      </w:r>
      <w:r w:rsidRPr="006D6FC6">
        <w:rPr>
          <w:rFonts w:eastAsia="Times New Roman"/>
          <w:kern w:val="2"/>
          <w:lang w:eastAsia="zh-CN"/>
        </w:rPr>
        <w:t xml:space="preserve">. Our results indicate that </w:t>
      </w:r>
      <w:r w:rsidRPr="006D6FC6">
        <w:rPr>
          <w:rFonts w:eastAsia="Times New Roman"/>
          <w:b/>
          <w:bCs/>
          <w:kern w:val="2"/>
          <w:lang w:eastAsia="zh-CN"/>
        </w:rPr>
        <w:t>TT-Ph-C6</w:t>
      </w:r>
      <w:r w:rsidRPr="006D6FC6">
        <w:rPr>
          <w:rFonts w:eastAsia="Times New Roman"/>
          <w:kern w:val="2"/>
          <w:lang w:eastAsia="zh-CN"/>
        </w:rPr>
        <w:t xml:space="preserve">-based devices exhibit the highest PCE of 18.01%, with a </w:t>
      </w:r>
      <w:r w:rsidRPr="006D6FC6">
        <w:rPr>
          <w:rFonts w:eastAsia="Times New Roman"/>
          <w:i/>
          <w:iCs/>
          <w:kern w:val="2"/>
          <w:lang w:eastAsia="zh-CN"/>
        </w:rPr>
        <w:t>V</w:t>
      </w:r>
      <w:r w:rsidRPr="006D6FC6">
        <w:rPr>
          <w:rFonts w:eastAsia="Times New Roman"/>
          <w:kern w:val="2"/>
          <w:vertAlign w:val="subscript"/>
          <w:lang w:eastAsia="zh-CN"/>
        </w:rPr>
        <w:t>oc</w:t>
      </w:r>
      <w:r w:rsidRPr="006D6FC6">
        <w:rPr>
          <w:rFonts w:eastAsia="Times New Roman"/>
          <w:kern w:val="2"/>
          <w:lang w:eastAsia="zh-CN"/>
        </w:rPr>
        <w:t xml:space="preserve"> of 0.90 V, a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of 24.96 mA cm</w:t>
      </w:r>
      <w:r w:rsidRPr="006D6FC6">
        <w:rPr>
          <w:rFonts w:eastAsia="Times New Roman"/>
          <w:kern w:val="2"/>
          <w:vertAlign w:val="superscript"/>
          <w:lang w:eastAsia="zh-CN"/>
        </w:rPr>
        <w:t>-2</w:t>
      </w:r>
      <w:r w:rsidRPr="006D6FC6">
        <w:rPr>
          <w:rFonts w:eastAsia="Times New Roman"/>
          <w:kern w:val="2"/>
          <w:lang w:eastAsia="zh-CN"/>
        </w:rPr>
        <w:t>, and an FF of 80.1</w:t>
      </w:r>
      <w:r w:rsidR="00BA15D0" w:rsidRPr="006D6FC6">
        <w:rPr>
          <w:rFonts w:eastAsia="Times New Roman"/>
          <w:kern w:val="2"/>
          <w:lang w:eastAsia="zh-CN"/>
        </w:rPr>
        <w:t>0</w:t>
      </w:r>
      <w:r w:rsidRPr="006D6FC6">
        <w:rPr>
          <w:rFonts w:eastAsia="Times New Roman"/>
          <w:kern w:val="2"/>
          <w:lang w:eastAsia="zh-CN"/>
        </w:rPr>
        <w:t xml:space="preserve">%. In contrast, 2BTh-2F-based devices deliver a lower PCE of 16.78%, with a </w:t>
      </w:r>
      <w:r w:rsidRPr="006D6FC6">
        <w:rPr>
          <w:rFonts w:eastAsia="Times New Roman"/>
          <w:i/>
          <w:iCs/>
          <w:kern w:val="2"/>
          <w:lang w:eastAsia="zh-CN"/>
        </w:rPr>
        <w:t>V</w:t>
      </w:r>
      <w:r w:rsidRPr="006D6FC6">
        <w:rPr>
          <w:rFonts w:eastAsia="Times New Roman"/>
          <w:kern w:val="2"/>
          <w:vertAlign w:val="subscript"/>
          <w:lang w:eastAsia="zh-CN"/>
        </w:rPr>
        <w:t>oc</w:t>
      </w:r>
      <w:r w:rsidRPr="006D6FC6">
        <w:rPr>
          <w:rFonts w:eastAsia="Times New Roman"/>
          <w:kern w:val="2"/>
          <w:lang w:eastAsia="zh-CN"/>
        </w:rPr>
        <w:t xml:space="preserve"> of 0.91 V, a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of 24.14 mA cm</w:t>
      </w:r>
      <w:r w:rsidRPr="006D6FC6">
        <w:rPr>
          <w:rFonts w:eastAsia="Times New Roman"/>
          <w:kern w:val="2"/>
          <w:vertAlign w:val="superscript"/>
          <w:lang w:eastAsia="zh-CN"/>
        </w:rPr>
        <w:t>-2</w:t>
      </w:r>
      <w:r w:rsidRPr="006D6FC6">
        <w:rPr>
          <w:rFonts w:eastAsia="Times New Roman"/>
          <w:kern w:val="2"/>
          <w:lang w:eastAsia="zh-CN"/>
        </w:rPr>
        <w:t xml:space="preserve">, and an FF of 75.90%. As shown in </w:t>
      </w:r>
      <w:r w:rsidR="00D01A05">
        <w:rPr>
          <w:rFonts w:eastAsia="Times New Roman"/>
          <w:b/>
          <w:bCs/>
          <w:kern w:val="2"/>
          <w:lang w:eastAsia="zh-CN"/>
        </w:rPr>
        <w:t>Fig.</w:t>
      </w:r>
      <w:r w:rsidRPr="006D6FC6">
        <w:rPr>
          <w:rFonts w:eastAsia="Times New Roman"/>
          <w:b/>
          <w:bCs/>
          <w:kern w:val="2"/>
          <w:lang w:eastAsia="zh-CN"/>
        </w:rPr>
        <w:t xml:space="preserve"> 3b</w:t>
      </w:r>
      <w:r w:rsidRPr="006D6FC6">
        <w:rPr>
          <w:rFonts w:eastAsia="Times New Roman"/>
          <w:kern w:val="2"/>
          <w:lang w:eastAsia="zh-CN"/>
        </w:rPr>
        <w:t xml:space="preserve">, the external quantum efficiency (EQE) spectra of the devices based on these two acceptors are presented. It is evident that the higher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valuein </w:t>
      </w:r>
      <w:r w:rsidRPr="006D6FC6">
        <w:rPr>
          <w:rFonts w:eastAsia="Times New Roman"/>
          <w:b/>
          <w:bCs/>
          <w:kern w:val="2"/>
          <w:lang w:eastAsia="zh-CN"/>
        </w:rPr>
        <w:t>TT-Ph-C6</w:t>
      </w:r>
      <w:r w:rsidRPr="006D6FC6">
        <w:rPr>
          <w:rFonts w:eastAsia="Times New Roman"/>
          <w:kern w:val="2"/>
          <w:lang w:eastAsia="zh-CN"/>
        </w:rPr>
        <w:t>-based OSCs is primarily attributed to their higher EQE value (23.63 mA cm</w:t>
      </w:r>
      <w:r w:rsidRPr="006D6FC6">
        <w:rPr>
          <w:rFonts w:eastAsia="Times New Roman"/>
          <w:kern w:val="2"/>
          <w:vertAlign w:val="superscript"/>
          <w:lang w:eastAsia="zh-CN"/>
        </w:rPr>
        <w:t>-2</w:t>
      </w:r>
      <w:r w:rsidRPr="006D6FC6">
        <w:rPr>
          <w:rFonts w:eastAsia="Times New Roman"/>
          <w:kern w:val="2"/>
          <w:lang w:eastAsia="zh-CN"/>
        </w:rPr>
        <w:t>), which peaks at 87%. In comparison, 2BTh-2F-based devices exhibit the highest EQE value (23.18 mA cm</w:t>
      </w:r>
      <w:r w:rsidRPr="006D6FC6">
        <w:rPr>
          <w:rFonts w:eastAsia="Times New Roman"/>
          <w:kern w:val="2"/>
          <w:vertAlign w:val="superscript"/>
          <w:lang w:eastAsia="zh-CN"/>
        </w:rPr>
        <w:t>-2</w:t>
      </w:r>
      <w:r w:rsidRPr="006D6FC6">
        <w:rPr>
          <w:rFonts w:eastAsia="Times New Roman"/>
          <w:kern w:val="2"/>
          <w:lang w:eastAsia="zh-CN"/>
        </w:rPr>
        <w:t xml:space="preserve">) of 81%. Furthermore, the EQE spectrum of </w:t>
      </w:r>
      <w:r w:rsidRPr="006D6FC6">
        <w:rPr>
          <w:rFonts w:eastAsia="Times New Roman"/>
          <w:b/>
          <w:bCs/>
          <w:kern w:val="2"/>
          <w:lang w:eastAsia="zh-CN"/>
        </w:rPr>
        <w:t>TT-Ph-C6</w:t>
      </w:r>
      <w:r w:rsidRPr="006D6FC6">
        <w:rPr>
          <w:rFonts w:eastAsia="Times New Roman"/>
          <w:kern w:val="2"/>
          <w:lang w:eastAsia="zh-CN"/>
        </w:rPr>
        <w:t>-based OSCs reveals a broad response range from 300 to 860 nm, slightly narrower than that of the 2BTh-2F-based devices, which is consistent with their absorption spectrum</w:t>
      </w:r>
      <w:r w:rsidRPr="006D6FC6">
        <w:rPr>
          <w:rFonts w:eastAsia="Times New Roman"/>
          <w:kern w:val="2"/>
          <w:sz w:val="22"/>
          <w:szCs w:val="22"/>
          <w:lang w:eastAsia="zh-CN"/>
        </w:rPr>
        <w:t>.</w:t>
      </w:r>
    </w:p>
    <w:p w14:paraId="28690E74" w14:textId="28898E96" w:rsidR="00D944A4" w:rsidRPr="006D6FC6" w:rsidRDefault="00F8379E" w:rsidP="006D6FC6">
      <w:pPr>
        <w:widowControl w:val="0"/>
        <w:spacing w:beforeLines="100" w:before="240" w:after="100" w:line="360" w:lineRule="auto"/>
        <w:rPr>
          <w:rFonts w:eastAsia="Times New Roman"/>
          <w:kern w:val="2"/>
          <w:lang w:eastAsia="zh-CN"/>
        </w:rPr>
      </w:pPr>
      <w:r w:rsidRPr="006D6FC6">
        <w:rPr>
          <w:rFonts w:eastAsia="Times New Roman"/>
          <w:kern w:val="2"/>
          <w:lang w:eastAsia="zh-CN"/>
        </w:rPr>
        <w:t xml:space="preserve">Through an extensive investigation into the charge recombination mechanisms, we gain a deeper understanding of the photovoltaic properties of devices incorporating asymmetric NFEAs. By scrutinizing the relationship between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and light intensity (</w:t>
      </w:r>
      <w:r w:rsidRPr="006D6FC6">
        <w:rPr>
          <w:rFonts w:eastAsia="Times New Roman"/>
          <w:i/>
          <w:iCs/>
          <w:kern w:val="2"/>
          <w:lang w:eastAsia="zh-CN"/>
        </w:rPr>
        <w:t>P</w:t>
      </w:r>
      <w:r w:rsidRPr="006D6FC6">
        <w:rPr>
          <w:rFonts w:eastAsia="Times New Roman"/>
          <w:kern w:val="2"/>
          <w:vertAlign w:val="subscript"/>
          <w:lang w:eastAsia="zh-CN"/>
        </w:rPr>
        <w:t>light</w:t>
      </w:r>
      <w:r w:rsidRPr="006D6FC6">
        <w:rPr>
          <w:rFonts w:eastAsia="Times New Roman"/>
          <w:kern w:val="2"/>
          <w:lang w:eastAsia="zh-CN"/>
        </w:rPr>
        <w:t xml:space="preserve">), which follows the power law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w:t>
      </w:r>
      <w:r w:rsidRPr="006D6FC6">
        <w:rPr>
          <w:rFonts w:eastAsia="Times New Roman"/>
          <w:kern w:val="2"/>
          <w:lang w:eastAsia="zh-CN"/>
        </w:rPr>
        <w:sym w:font="Symbol" w:char="F0B5"/>
      </w:r>
      <w:r w:rsidRPr="006D6FC6">
        <w:rPr>
          <w:rFonts w:eastAsia="Times New Roman"/>
          <w:kern w:val="2"/>
          <w:lang w:eastAsia="zh-CN"/>
        </w:rPr>
        <w:t xml:space="preserve"> </w:t>
      </w:r>
      <w:r w:rsidRPr="006D6FC6">
        <w:rPr>
          <w:rFonts w:eastAsia="Times New Roman"/>
          <w:i/>
          <w:iCs/>
          <w:kern w:val="2"/>
          <w:lang w:eastAsia="zh-CN"/>
        </w:rPr>
        <w:t>P</w:t>
      </w:r>
      <w:r w:rsidRPr="006D6FC6">
        <w:rPr>
          <w:rFonts w:eastAsia="Times New Roman"/>
          <w:kern w:val="2"/>
          <w:vertAlign w:val="subscript"/>
          <w:lang w:eastAsia="zh-CN"/>
        </w:rPr>
        <w:t>light</w:t>
      </w:r>
      <w:r w:rsidRPr="006D6FC6">
        <w:rPr>
          <w:rFonts w:eastAsia="Times New Roman"/>
          <w:kern w:val="2"/>
          <w:vertAlign w:val="superscript"/>
          <w:lang w:eastAsia="zh-CN"/>
        </w:rPr>
        <w:t>α</w:t>
      </w:r>
      <w:r w:rsidRPr="006D6FC6">
        <w:rPr>
          <w:rFonts w:eastAsia="Times New Roman"/>
          <w:kern w:val="2"/>
          <w:lang w:eastAsia="zh-CN"/>
        </w:rPr>
        <w:t xml:space="preserve">, we can elucidate the charge recombination processes. Here, </w:t>
      </w:r>
      <w:r w:rsidRPr="006D6FC6">
        <w:rPr>
          <w:rFonts w:eastAsia="Times New Roman"/>
          <w:i/>
          <w:iCs/>
          <w:kern w:val="2"/>
          <w:lang w:eastAsia="zh-CN"/>
        </w:rPr>
        <w:t>α</w:t>
      </w:r>
      <w:r w:rsidRPr="006D6FC6">
        <w:rPr>
          <w:rFonts w:eastAsia="Times New Roman"/>
          <w:kern w:val="2"/>
          <w:lang w:eastAsia="zh-CN"/>
        </w:rPr>
        <w:t xml:space="preserve"> denotes the bimolecular recombination index, ascertainable from the slope of the log-log plot of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versus Plight</w:t>
      </w:r>
      <w:r w:rsidR="00D01A05">
        <w:rPr>
          <w:rFonts w:eastAsiaTheme="minorEastAsia" w:hint="eastAsia"/>
          <w:kern w:val="2"/>
          <w:lang w:eastAsia="zh-CN"/>
        </w:rPr>
        <w:t xml:space="preserve"> </w:t>
      </w:r>
      <w:r w:rsidRPr="006D6FC6">
        <w:rPr>
          <w:rFonts w:eastAsia="Times New Roman"/>
          <w:kern w:val="2"/>
          <w:lang w:eastAsia="zh-CN"/>
        </w:rPr>
        <w:t>[</w:t>
      </w:r>
      <w:r w:rsidR="000D3A42" w:rsidRPr="006D6FC6">
        <w:rPr>
          <w:rFonts w:eastAsia="Times New Roman"/>
          <w:kern w:val="2"/>
          <w:lang w:eastAsia="zh-CN"/>
        </w:rPr>
        <w:t>45</w:t>
      </w:r>
      <w:r w:rsidRPr="006D6FC6">
        <w:rPr>
          <w:rFonts w:eastAsia="Times New Roman"/>
          <w:kern w:val="2"/>
          <w:lang w:eastAsia="zh-CN"/>
        </w:rPr>
        <w:t>-</w:t>
      </w:r>
      <w:r w:rsidR="000D3A42" w:rsidRPr="006D6FC6">
        <w:rPr>
          <w:rFonts w:eastAsia="Times New Roman"/>
          <w:kern w:val="2"/>
          <w:lang w:eastAsia="zh-CN"/>
        </w:rPr>
        <w:t>47</w:t>
      </w:r>
      <w:r w:rsidRPr="006D6FC6">
        <w:rPr>
          <w:rFonts w:eastAsia="Times New Roman"/>
          <w:kern w:val="2"/>
          <w:lang w:eastAsia="zh-CN"/>
        </w:rPr>
        <w:t>]</w:t>
      </w:r>
      <w:r w:rsidR="00D01A05">
        <w:rPr>
          <w:rFonts w:eastAsiaTheme="minorEastAsia" w:hint="eastAsia"/>
          <w:kern w:val="2"/>
          <w:lang w:eastAsia="zh-CN"/>
        </w:rPr>
        <w:t>.</w:t>
      </w:r>
      <w:r w:rsidRPr="006D6FC6">
        <w:rPr>
          <w:rFonts w:eastAsia="Times New Roman"/>
          <w:kern w:val="2"/>
          <w:lang w:eastAsia="zh-CN"/>
        </w:rPr>
        <w:t xml:space="preserve"> As depicted in </w:t>
      </w:r>
      <w:r w:rsidR="00D01A05">
        <w:rPr>
          <w:rFonts w:eastAsia="Times New Roman"/>
          <w:b/>
          <w:bCs/>
          <w:kern w:val="2"/>
          <w:lang w:eastAsia="zh-CN"/>
        </w:rPr>
        <w:t>Fig.</w:t>
      </w:r>
      <w:r w:rsidRPr="006D6FC6">
        <w:rPr>
          <w:rFonts w:eastAsia="Times New Roman"/>
          <w:b/>
          <w:bCs/>
          <w:kern w:val="2"/>
          <w:lang w:eastAsia="zh-CN"/>
        </w:rPr>
        <w:t xml:space="preserve"> 3c</w:t>
      </w:r>
      <w:r w:rsidRPr="006D6FC6">
        <w:rPr>
          <w:rFonts w:eastAsia="Times New Roman"/>
          <w:kern w:val="2"/>
          <w:lang w:eastAsia="zh-CN"/>
        </w:rPr>
        <w:t xml:space="preserve">, a dual logarithmic plot of </w:t>
      </w:r>
      <w:bookmarkStart w:id="6" w:name="_Hlk195866140"/>
      <w:r w:rsidRPr="006D6FC6">
        <w:rPr>
          <w:rFonts w:eastAsia="Times New Roman"/>
          <w:i/>
          <w:iCs/>
          <w:kern w:val="2"/>
          <w:lang w:eastAsia="zh-CN"/>
        </w:rPr>
        <w:t>J</w:t>
      </w:r>
      <w:r w:rsidRPr="006D6FC6">
        <w:rPr>
          <w:rFonts w:eastAsia="Times New Roman"/>
          <w:kern w:val="2"/>
          <w:vertAlign w:val="subscript"/>
          <w:lang w:eastAsia="zh-CN"/>
        </w:rPr>
        <w:t>sc</w:t>
      </w:r>
      <w:bookmarkEnd w:id="6"/>
      <w:r w:rsidRPr="006D6FC6">
        <w:rPr>
          <w:rFonts w:eastAsia="Times New Roman"/>
          <w:kern w:val="2"/>
          <w:lang w:eastAsia="zh-CN"/>
        </w:rPr>
        <w:t xml:space="preserve"> against </w:t>
      </w:r>
      <w:r w:rsidRPr="006D6FC6">
        <w:rPr>
          <w:rFonts w:eastAsia="Times New Roman"/>
          <w:i/>
          <w:iCs/>
          <w:kern w:val="2"/>
          <w:lang w:eastAsia="zh-CN"/>
        </w:rPr>
        <w:t>V</w:t>
      </w:r>
      <w:r w:rsidRPr="006D6FC6">
        <w:rPr>
          <w:rFonts w:eastAsia="Times New Roman"/>
          <w:kern w:val="2"/>
          <w:vertAlign w:val="subscript"/>
          <w:lang w:eastAsia="zh-CN"/>
        </w:rPr>
        <w:t>oc</w:t>
      </w:r>
      <w:r w:rsidRPr="006D6FC6">
        <w:rPr>
          <w:rFonts w:eastAsia="Times New Roman"/>
          <w:kern w:val="2"/>
          <w:lang w:eastAsia="zh-CN"/>
        </w:rPr>
        <w:t xml:space="preserve"> reveals that the α value for devices based on </w:t>
      </w:r>
      <w:r w:rsidRPr="006D6FC6">
        <w:rPr>
          <w:rFonts w:eastAsia="Times New Roman"/>
          <w:b/>
          <w:bCs/>
          <w:kern w:val="2"/>
          <w:lang w:eastAsia="zh-CN"/>
        </w:rPr>
        <w:t>TT-Ph-C6</w:t>
      </w:r>
      <w:r w:rsidRPr="006D6FC6">
        <w:rPr>
          <w:rFonts w:eastAsia="Times New Roman"/>
          <w:kern w:val="2"/>
          <w:lang w:eastAsia="zh-CN"/>
        </w:rPr>
        <w:t xml:space="preserve"> attains 0.997. This value is notably higher than that of devices based on 2BTh-2F (0.990) and approaches the ideal unity, signifying well-suppressed bimolecular recombination within the </w:t>
      </w:r>
      <w:r w:rsidRPr="006D6FC6">
        <w:rPr>
          <w:rFonts w:eastAsia="Times New Roman"/>
          <w:b/>
          <w:bCs/>
          <w:kern w:val="2"/>
          <w:lang w:eastAsia="zh-CN"/>
        </w:rPr>
        <w:t>TT-Ph-C6</w:t>
      </w:r>
      <w:r w:rsidRPr="006D6FC6">
        <w:rPr>
          <w:rFonts w:eastAsia="Times New Roman"/>
          <w:kern w:val="2"/>
          <w:lang w:eastAsia="zh-CN"/>
        </w:rPr>
        <w:t>-based devices. Moreover, we carried out a detailed examination of the photocurrent density (</w:t>
      </w:r>
      <w:r w:rsidRPr="006D6FC6">
        <w:rPr>
          <w:rFonts w:eastAsia="Times New Roman"/>
          <w:i/>
          <w:iCs/>
          <w:kern w:val="2"/>
          <w:lang w:eastAsia="zh-CN"/>
        </w:rPr>
        <w:t>J</w:t>
      </w:r>
      <w:r w:rsidRPr="006D6FC6">
        <w:rPr>
          <w:rFonts w:eastAsia="Times New Roman"/>
          <w:kern w:val="2"/>
          <w:lang w:eastAsia="zh-CN"/>
        </w:rPr>
        <w:t>) versus effective voltage (</w:t>
      </w:r>
      <w:r w:rsidRPr="006D6FC6">
        <w:rPr>
          <w:rFonts w:eastAsia="Times New Roman"/>
          <w:i/>
          <w:iCs/>
          <w:kern w:val="2"/>
          <w:lang w:eastAsia="zh-CN"/>
        </w:rPr>
        <w:t>V</w:t>
      </w:r>
      <w:r w:rsidRPr="006D6FC6">
        <w:rPr>
          <w:rFonts w:eastAsia="Times New Roman"/>
          <w:kern w:val="2"/>
          <w:vertAlign w:val="subscript"/>
          <w:lang w:eastAsia="zh-CN"/>
        </w:rPr>
        <w:t>eff)</w:t>
      </w:r>
      <w:r w:rsidRPr="006D6FC6">
        <w:rPr>
          <w:rFonts w:eastAsia="Times New Roman"/>
          <w:kern w:val="2"/>
          <w:lang w:eastAsia="zh-CN"/>
        </w:rPr>
        <w:t xml:space="preserve"> relationship in these devices, with the detailed findings presented in </w:t>
      </w:r>
      <w:r w:rsidR="00D01A05">
        <w:rPr>
          <w:rFonts w:eastAsia="Times New Roman"/>
          <w:b/>
          <w:bCs/>
          <w:kern w:val="2"/>
          <w:lang w:eastAsia="zh-CN"/>
        </w:rPr>
        <w:t>Fig.</w:t>
      </w:r>
      <w:r w:rsidRPr="006D6FC6">
        <w:rPr>
          <w:rFonts w:eastAsia="Times New Roman"/>
          <w:b/>
          <w:bCs/>
          <w:kern w:val="2"/>
          <w:lang w:eastAsia="zh-CN"/>
        </w:rPr>
        <w:t xml:space="preserve"> S3</w:t>
      </w:r>
      <w:r w:rsidRPr="006D6FC6">
        <w:rPr>
          <w:rFonts w:eastAsia="Times New Roman"/>
          <w:kern w:val="2"/>
          <w:lang w:eastAsia="zh-CN"/>
        </w:rPr>
        <w:t>. The D18:</w:t>
      </w:r>
      <w:r w:rsidRPr="006D6FC6">
        <w:rPr>
          <w:rFonts w:eastAsia="Times New Roman"/>
          <w:b/>
          <w:bCs/>
          <w:kern w:val="2"/>
          <w:lang w:eastAsia="zh-CN"/>
        </w:rPr>
        <w:t>TT-Ph-C6</w:t>
      </w:r>
      <w:r w:rsidRPr="006D6FC6">
        <w:rPr>
          <w:rFonts w:eastAsia="Times New Roman"/>
          <w:kern w:val="2"/>
          <w:lang w:eastAsia="zh-CN"/>
        </w:rPr>
        <w:t xml:space="preserve"> device exhibits an impressive exciton dissociation efficiency (</w:t>
      </w:r>
      <w:r w:rsidRPr="006D6FC6">
        <w:rPr>
          <w:rFonts w:eastAsia="Times New Roman"/>
          <w:i/>
          <w:iCs/>
          <w:kern w:val="2"/>
          <w:lang w:eastAsia="zh-CN"/>
        </w:rPr>
        <w:t>P</w:t>
      </w:r>
      <w:r w:rsidRPr="006D6FC6">
        <w:rPr>
          <w:rFonts w:eastAsia="Times New Roman"/>
          <w:kern w:val="2"/>
          <w:vertAlign w:val="subscript"/>
          <w:lang w:eastAsia="zh-CN"/>
        </w:rPr>
        <w:t>diss</w:t>
      </w:r>
      <w:r w:rsidRPr="006D6FC6">
        <w:rPr>
          <w:rFonts w:eastAsia="Times New Roman"/>
          <w:kern w:val="2"/>
          <w:lang w:eastAsia="zh-CN"/>
        </w:rPr>
        <w:t>) of 96% and a charge collection efficiency (</w:t>
      </w:r>
      <w:r w:rsidRPr="006D6FC6">
        <w:rPr>
          <w:rFonts w:eastAsia="Times New Roman"/>
          <w:i/>
          <w:iCs/>
          <w:kern w:val="2"/>
          <w:lang w:eastAsia="zh-CN"/>
        </w:rPr>
        <w:t>P</w:t>
      </w:r>
      <w:r w:rsidRPr="006D6FC6">
        <w:rPr>
          <w:rFonts w:eastAsia="Times New Roman"/>
          <w:kern w:val="2"/>
          <w:vertAlign w:val="subscript"/>
          <w:lang w:eastAsia="zh-CN"/>
        </w:rPr>
        <w:t>coll</w:t>
      </w:r>
      <w:r w:rsidRPr="006D6FC6">
        <w:rPr>
          <w:rFonts w:eastAsia="Times New Roman"/>
          <w:kern w:val="2"/>
          <w:lang w:eastAsia="zh-CN"/>
        </w:rPr>
        <w:t xml:space="preserve">) of 87%. These results underscore the superior performance of </w:t>
      </w:r>
      <w:r w:rsidRPr="006D6FC6">
        <w:rPr>
          <w:rFonts w:eastAsia="Times New Roman"/>
          <w:b/>
          <w:bCs/>
          <w:kern w:val="2"/>
          <w:lang w:eastAsia="zh-CN"/>
        </w:rPr>
        <w:t>TT-Ph-C6</w:t>
      </w:r>
      <w:r w:rsidRPr="006D6FC6">
        <w:rPr>
          <w:rFonts w:eastAsia="Times New Roman"/>
          <w:kern w:val="2"/>
          <w:lang w:eastAsia="zh-CN"/>
        </w:rPr>
        <w:t xml:space="preserve">-based devices in exciton dissociation and charge transport, effectively mitigating recombination, thereby yielding elevated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and FF. Furthermore, we have compiled the latest research data on FF and PCE for devices employing NFREAs. In comparison, our study achieves a higher FF (as illustrated in </w:t>
      </w:r>
      <w:r w:rsidR="00D01A05">
        <w:rPr>
          <w:rFonts w:eastAsia="Times New Roman"/>
          <w:b/>
          <w:bCs/>
          <w:kern w:val="2"/>
          <w:lang w:eastAsia="zh-CN"/>
        </w:rPr>
        <w:t>Fig.</w:t>
      </w:r>
      <w:r w:rsidRPr="006D6FC6">
        <w:rPr>
          <w:rFonts w:eastAsia="Times New Roman"/>
          <w:b/>
          <w:bCs/>
          <w:kern w:val="2"/>
          <w:lang w:eastAsia="zh-CN"/>
        </w:rPr>
        <w:t xml:space="preserve"> 3d</w:t>
      </w:r>
      <w:r w:rsidRPr="006D6FC6">
        <w:rPr>
          <w:rFonts w:eastAsia="Times New Roman"/>
          <w:kern w:val="2"/>
          <w:lang w:eastAsia="zh-CN"/>
        </w:rPr>
        <w:t xml:space="preserve">), marking the highest reported FF for NFREA-based OSCs thus far. </w:t>
      </w:r>
    </w:p>
    <w:p w14:paraId="2C99C92D" w14:textId="468EE0EE" w:rsidR="00D944A4" w:rsidRPr="006D6FC6" w:rsidRDefault="00D25A20" w:rsidP="006D6FC6">
      <w:pPr>
        <w:widowControl w:val="0"/>
        <w:spacing w:beforeLines="100" w:before="240" w:after="100" w:line="360" w:lineRule="auto"/>
        <w:rPr>
          <w:rFonts w:eastAsia="Times New Roman"/>
          <w:kern w:val="2"/>
          <w:lang w:eastAsia="zh-CN"/>
        </w:rPr>
      </w:pPr>
      <w:r w:rsidRPr="006D6FC6">
        <w:rPr>
          <w:rFonts w:eastAsia="Times New Roman"/>
          <w:kern w:val="2"/>
          <w:lang w:eastAsia="zh-CN"/>
        </w:rPr>
        <w:t>To investigate the charge transport characteristics of the asymmetric acceptor, the space-charge-limited current (SCLC) method was employed. The hole mobility (</w:t>
      </w:r>
      <w:r w:rsidRPr="006D6FC6">
        <w:rPr>
          <w:rFonts w:eastAsia="Times New Roman"/>
          <w:i/>
          <w:iCs/>
          <w:kern w:val="2"/>
          <w:lang w:eastAsia="zh-CN"/>
        </w:rPr>
        <w:t>μ</w:t>
      </w:r>
      <w:r w:rsidRPr="006D6FC6">
        <w:rPr>
          <w:rFonts w:eastAsia="Times New Roman"/>
          <w:kern w:val="2"/>
          <w:vertAlign w:val="subscript"/>
          <w:lang w:eastAsia="zh-CN"/>
        </w:rPr>
        <w:t>h</w:t>
      </w:r>
      <w:r w:rsidRPr="006D6FC6">
        <w:rPr>
          <w:rFonts w:eastAsia="Times New Roman"/>
          <w:kern w:val="2"/>
          <w:lang w:eastAsia="zh-CN"/>
        </w:rPr>
        <w:t>) and electron mobility (</w:t>
      </w:r>
      <w:r w:rsidRPr="006D6FC6">
        <w:rPr>
          <w:rFonts w:eastAsia="Times New Roman"/>
          <w:i/>
          <w:iCs/>
          <w:kern w:val="2"/>
          <w:lang w:eastAsia="zh-CN"/>
        </w:rPr>
        <w:t>μ</w:t>
      </w:r>
      <w:r w:rsidRPr="006D6FC6">
        <w:rPr>
          <w:rFonts w:eastAsia="Times New Roman"/>
          <w:kern w:val="2"/>
          <w:vertAlign w:val="subscript"/>
          <w:lang w:eastAsia="zh-CN"/>
        </w:rPr>
        <w:t>e</w:t>
      </w:r>
      <w:r w:rsidRPr="006D6FC6">
        <w:rPr>
          <w:rFonts w:eastAsia="Times New Roman"/>
          <w:kern w:val="2"/>
          <w:lang w:eastAsia="zh-CN"/>
        </w:rPr>
        <w:t xml:space="preserve">) were estimated using the standard device structures: ITO/PEDOT:PSS/active layer/Au for hole transport, and ITO/ZnO/active layer/Al for electron transport, respectively. As shown in </w:t>
      </w:r>
      <w:r w:rsidR="00D01A05">
        <w:rPr>
          <w:rFonts w:eastAsia="Times New Roman"/>
          <w:b/>
          <w:bCs/>
          <w:kern w:val="2"/>
          <w:lang w:eastAsia="zh-CN"/>
        </w:rPr>
        <w:t>Fig.</w:t>
      </w:r>
      <w:r w:rsidRPr="006D6FC6">
        <w:rPr>
          <w:rFonts w:eastAsia="Times New Roman"/>
          <w:b/>
          <w:bCs/>
          <w:kern w:val="2"/>
          <w:lang w:eastAsia="zh-CN"/>
        </w:rPr>
        <w:t xml:space="preserve"> 3e</w:t>
      </w:r>
      <w:r w:rsidR="00D01A05">
        <w:rPr>
          <w:rFonts w:eastAsiaTheme="minorEastAsia" w:hint="eastAsia"/>
          <w:b/>
          <w:bCs/>
          <w:kern w:val="2"/>
          <w:lang w:eastAsia="zh-CN"/>
        </w:rPr>
        <w:t xml:space="preserve">, </w:t>
      </w:r>
      <w:r w:rsidRPr="006D6FC6">
        <w:rPr>
          <w:rFonts w:eastAsia="Times New Roman"/>
          <w:b/>
          <w:bCs/>
          <w:kern w:val="2"/>
          <w:lang w:eastAsia="zh-CN"/>
        </w:rPr>
        <w:t>f</w:t>
      </w:r>
      <w:r w:rsidRPr="006D6FC6">
        <w:rPr>
          <w:rFonts w:eastAsia="Times New Roman"/>
          <w:kern w:val="2"/>
          <w:lang w:eastAsia="zh-CN"/>
        </w:rPr>
        <w:t xml:space="preserve">, and </w:t>
      </w:r>
      <w:r w:rsidRPr="006D6FC6">
        <w:rPr>
          <w:rFonts w:eastAsia="Times New Roman"/>
          <w:b/>
          <w:bCs/>
          <w:kern w:val="2"/>
          <w:lang w:eastAsia="zh-CN"/>
        </w:rPr>
        <w:t>Table S1</w:t>
      </w:r>
      <w:r w:rsidRPr="006D6FC6">
        <w:rPr>
          <w:rFonts w:eastAsia="Times New Roman"/>
          <w:kern w:val="2"/>
          <w:lang w:eastAsia="zh-CN"/>
        </w:rPr>
        <w:t xml:space="preserve"> (SI), the </w:t>
      </w:r>
      <w:r w:rsidRPr="006D6FC6">
        <w:rPr>
          <w:rFonts w:eastAsia="Times New Roman"/>
          <w:i/>
          <w:iCs/>
          <w:kern w:val="2"/>
          <w:lang w:eastAsia="zh-CN"/>
        </w:rPr>
        <w:t>μ</w:t>
      </w:r>
      <w:r w:rsidRPr="006D6FC6">
        <w:rPr>
          <w:rFonts w:eastAsia="Times New Roman"/>
          <w:kern w:val="2"/>
          <w:vertAlign w:val="subscript"/>
          <w:lang w:eastAsia="zh-CN"/>
        </w:rPr>
        <w:t>h</w:t>
      </w:r>
      <w:r w:rsidRPr="006D6FC6">
        <w:rPr>
          <w:rFonts w:eastAsia="Times New Roman"/>
          <w:kern w:val="2"/>
          <w:lang w:eastAsia="zh-CN"/>
        </w:rPr>
        <w:t>/</w:t>
      </w:r>
      <w:r w:rsidRPr="006D6FC6">
        <w:rPr>
          <w:rFonts w:eastAsia="Times New Roman"/>
          <w:i/>
          <w:iCs/>
          <w:kern w:val="2"/>
          <w:lang w:eastAsia="zh-CN"/>
        </w:rPr>
        <w:t>μ</w:t>
      </w:r>
      <w:r w:rsidRPr="006D6FC6">
        <w:rPr>
          <w:rFonts w:eastAsia="Times New Roman"/>
          <w:kern w:val="2"/>
          <w:vertAlign w:val="subscript"/>
          <w:lang w:eastAsia="zh-CN"/>
        </w:rPr>
        <w:t>e</w:t>
      </w:r>
      <w:r w:rsidRPr="006D6FC6">
        <w:rPr>
          <w:rFonts w:eastAsia="Times New Roman"/>
          <w:kern w:val="2"/>
          <w:lang w:eastAsia="zh-CN"/>
        </w:rPr>
        <w:t xml:space="preserve"> </w:t>
      </w:r>
      <w:r w:rsidR="00057E2C" w:rsidRPr="006D6FC6">
        <w:rPr>
          <w:rFonts w:eastAsia="Times New Roman"/>
          <w:kern w:val="2"/>
          <w:lang w:eastAsia="zh-CN"/>
        </w:rPr>
        <w:t>values</w:t>
      </w:r>
      <w:r w:rsidRPr="006D6FC6">
        <w:rPr>
          <w:rFonts w:eastAsia="Times New Roman"/>
          <w:kern w:val="2"/>
          <w:lang w:eastAsia="zh-CN"/>
        </w:rPr>
        <w:t xml:space="preserve"> for D18:</w:t>
      </w:r>
      <w:r w:rsidRPr="006D6FC6">
        <w:rPr>
          <w:rFonts w:eastAsia="Times New Roman"/>
          <w:b/>
          <w:bCs/>
          <w:kern w:val="2"/>
          <w:lang w:eastAsia="zh-CN"/>
        </w:rPr>
        <w:t>TT-Ph-C6</w:t>
      </w:r>
      <w:r w:rsidRPr="006D6FC6">
        <w:rPr>
          <w:rFonts w:eastAsia="Times New Roman"/>
          <w:kern w:val="2"/>
          <w:lang w:eastAsia="zh-CN"/>
        </w:rPr>
        <w:t xml:space="preserve"> and D18:2BTh-2F blend films are estimated to be 2.44×10</w:t>
      </w:r>
      <w:r w:rsidRPr="006D6FC6">
        <w:rPr>
          <w:rFonts w:eastAsia="Times New Roman"/>
          <w:kern w:val="2"/>
          <w:vertAlign w:val="superscript"/>
          <w:lang w:eastAsia="zh-CN"/>
        </w:rPr>
        <w:t>-4</w:t>
      </w:r>
      <w:r w:rsidRPr="006D6FC6">
        <w:rPr>
          <w:rFonts w:eastAsia="Times New Roman"/>
          <w:kern w:val="2"/>
          <w:lang w:eastAsia="zh-CN"/>
        </w:rPr>
        <w:t>/2.48×10</w:t>
      </w:r>
      <w:r w:rsidRPr="006D6FC6">
        <w:rPr>
          <w:rFonts w:eastAsia="Times New Roman"/>
          <w:kern w:val="2"/>
          <w:vertAlign w:val="superscript"/>
          <w:lang w:eastAsia="zh-CN"/>
        </w:rPr>
        <w:t>-4</w:t>
      </w:r>
      <w:r w:rsidRPr="006D6FC6">
        <w:rPr>
          <w:rFonts w:eastAsia="Times New Roman"/>
          <w:kern w:val="2"/>
          <w:lang w:eastAsia="zh-CN"/>
        </w:rPr>
        <w:t xml:space="preserve"> and 1.53×10</w:t>
      </w:r>
      <w:r w:rsidRPr="006D6FC6">
        <w:rPr>
          <w:rFonts w:eastAsia="Times New Roman"/>
          <w:kern w:val="2"/>
          <w:vertAlign w:val="superscript"/>
          <w:lang w:eastAsia="zh-CN"/>
        </w:rPr>
        <w:t>-4</w:t>
      </w:r>
      <w:r w:rsidRPr="006D6FC6">
        <w:rPr>
          <w:rFonts w:eastAsia="Times New Roman"/>
          <w:kern w:val="2"/>
          <w:lang w:eastAsia="zh-CN"/>
        </w:rPr>
        <w:t>/1.71×10</w:t>
      </w:r>
      <w:r w:rsidRPr="006D6FC6">
        <w:rPr>
          <w:rFonts w:eastAsia="Times New Roman"/>
          <w:kern w:val="2"/>
          <w:vertAlign w:val="superscript"/>
          <w:lang w:eastAsia="zh-CN"/>
        </w:rPr>
        <w:t>-4</w:t>
      </w:r>
      <w:r w:rsidRPr="006D6FC6">
        <w:rPr>
          <w:rFonts w:eastAsia="Times New Roman"/>
          <w:kern w:val="2"/>
          <w:lang w:eastAsia="zh-CN"/>
        </w:rPr>
        <w:t xml:space="preserve"> cm</w:t>
      </w:r>
      <w:r w:rsidRPr="006D6FC6">
        <w:rPr>
          <w:rFonts w:eastAsia="Times New Roman"/>
          <w:kern w:val="2"/>
          <w:vertAlign w:val="superscript"/>
          <w:lang w:eastAsia="zh-CN"/>
        </w:rPr>
        <w:t>2</w:t>
      </w:r>
      <w:r w:rsidR="00D01A05">
        <w:rPr>
          <w:rFonts w:eastAsiaTheme="minorEastAsia" w:hint="eastAsia"/>
          <w:kern w:val="2"/>
          <w:vertAlign w:val="superscript"/>
          <w:lang w:eastAsia="zh-CN"/>
        </w:rPr>
        <w:t xml:space="preserve"> </w:t>
      </w:r>
      <w:r w:rsidRPr="006D6FC6">
        <w:rPr>
          <w:rFonts w:eastAsia="Times New Roman"/>
          <w:kern w:val="2"/>
          <w:lang w:eastAsia="zh-CN"/>
        </w:rPr>
        <w:t>V</w:t>
      </w:r>
      <w:r w:rsidRPr="006D6FC6">
        <w:rPr>
          <w:rFonts w:eastAsia="Times New Roman"/>
          <w:kern w:val="2"/>
          <w:vertAlign w:val="superscript"/>
          <w:lang w:eastAsia="zh-CN"/>
        </w:rPr>
        <w:t>-1</w:t>
      </w:r>
      <w:r w:rsidR="00D01A05">
        <w:rPr>
          <w:rFonts w:eastAsiaTheme="minorEastAsia" w:hint="eastAsia"/>
          <w:kern w:val="2"/>
          <w:vertAlign w:val="superscript"/>
          <w:lang w:eastAsia="zh-CN"/>
        </w:rPr>
        <w:t xml:space="preserve"> </w:t>
      </w:r>
      <w:r w:rsidRPr="006D6FC6">
        <w:rPr>
          <w:rFonts w:eastAsia="Times New Roman"/>
          <w:kern w:val="2"/>
          <w:lang w:eastAsia="zh-CN"/>
        </w:rPr>
        <w:t>s</w:t>
      </w:r>
      <w:r w:rsidRPr="006D6FC6">
        <w:rPr>
          <w:rFonts w:eastAsia="Times New Roman"/>
          <w:kern w:val="2"/>
          <w:vertAlign w:val="superscript"/>
          <w:lang w:eastAsia="zh-CN"/>
        </w:rPr>
        <w:t>-1</w:t>
      </w:r>
      <w:r w:rsidRPr="006D6FC6">
        <w:rPr>
          <w:rFonts w:eastAsia="Times New Roman"/>
          <w:kern w:val="2"/>
          <w:lang w:eastAsia="zh-CN"/>
        </w:rPr>
        <w:t xml:space="preserve">, respectively, resulting in corresponding </w:t>
      </w:r>
      <w:r w:rsidRPr="006D6FC6">
        <w:rPr>
          <w:rFonts w:eastAsia="Times New Roman"/>
          <w:i/>
          <w:iCs/>
          <w:kern w:val="2"/>
          <w:lang w:eastAsia="zh-CN"/>
        </w:rPr>
        <w:t>μ</w:t>
      </w:r>
      <w:r w:rsidRPr="006D6FC6">
        <w:rPr>
          <w:rFonts w:eastAsia="Times New Roman"/>
          <w:kern w:val="2"/>
          <w:vertAlign w:val="subscript"/>
          <w:lang w:eastAsia="zh-CN"/>
        </w:rPr>
        <w:t>h</w:t>
      </w:r>
      <w:r w:rsidRPr="006D6FC6">
        <w:rPr>
          <w:rFonts w:eastAsia="Times New Roman"/>
          <w:kern w:val="2"/>
          <w:lang w:eastAsia="zh-CN"/>
        </w:rPr>
        <w:t>/</w:t>
      </w:r>
      <w:r w:rsidRPr="006D6FC6">
        <w:rPr>
          <w:rFonts w:eastAsia="Times New Roman"/>
          <w:i/>
          <w:iCs/>
          <w:kern w:val="2"/>
          <w:lang w:eastAsia="zh-CN"/>
        </w:rPr>
        <w:t>μ</w:t>
      </w:r>
      <w:r w:rsidRPr="006D6FC6">
        <w:rPr>
          <w:rFonts w:eastAsia="Times New Roman"/>
          <w:kern w:val="2"/>
          <w:vertAlign w:val="subscript"/>
          <w:lang w:eastAsia="zh-CN"/>
        </w:rPr>
        <w:t>e</w:t>
      </w:r>
      <w:r w:rsidRPr="006D6FC6">
        <w:rPr>
          <w:rFonts w:eastAsia="Times New Roman"/>
          <w:kern w:val="2"/>
          <w:lang w:eastAsia="zh-CN"/>
        </w:rPr>
        <w:t xml:space="preserve"> </w:t>
      </w:r>
      <w:r w:rsidR="00057E2C" w:rsidRPr="006D6FC6">
        <w:rPr>
          <w:rFonts w:eastAsia="Times New Roman"/>
          <w:kern w:val="2"/>
          <w:lang w:eastAsia="zh-CN"/>
        </w:rPr>
        <w:t>values</w:t>
      </w:r>
      <w:r w:rsidRPr="006D6FC6">
        <w:rPr>
          <w:rFonts w:eastAsia="Times New Roman"/>
          <w:kern w:val="2"/>
          <w:lang w:eastAsia="zh-CN"/>
        </w:rPr>
        <w:t xml:space="preserve"> of 0.98 and 0.89. The higher and more balanced hole and electron mobilities are the reasons for the improvement in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and FF of the D18:</w:t>
      </w:r>
      <w:r w:rsidRPr="006D6FC6">
        <w:rPr>
          <w:rFonts w:eastAsia="Times New Roman"/>
          <w:b/>
          <w:bCs/>
          <w:kern w:val="2"/>
          <w:lang w:eastAsia="zh-CN"/>
        </w:rPr>
        <w:t>TT-Ph-C6</w:t>
      </w:r>
      <w:r w:rsidRPr="006D6FC6">
        <w:rPr>
          <w:rFonts w:eastAsia="Times New Roman"/>
          <w:kern w:val="2"/>
          <w:lang w:eastAsia="zh-CN"/>
        </w:rPr>
        <w:t xml:space="preserve"> device. </w:t>
      </w:r>
    </w:p>
    <w:p w14:paraId="016DB879" w14:textId="77777777" w:rsidR="00D944A4" w:rsidRPr="006D6FC6" w:rsidRDefault="00D25A20" w:rsidP="006D6FC6">
      <w:pPr>
        <w:spacing w:beforeLines="100" w:before="240" w:afterLines="100" w:after="240" w:line="360" w:lineRule="auto"/>
        <w:rPr>
          <w:b/>
          <w:bCs/>
          <w:lang w:val="en-US"/>
        </w:rPr>
      </w:pPr>
      <w:r w:rsidRPr="006D6FC6">
        <w:rPr>
          <w:b/>
          <w:bCs/>
          <w:lang w:val="en-US"/>
        </w:rPr>
        <w:t xml:space="preserve">3.4 </w:t>
      </w:r>
      <w:r w:rsidRPr="006D6FC6">
        <w:rPr>
          <w:rFonts w:eastAsiaTheme="minorEastAsia"/>
          <w:b/>
          <w:bCs/>
          <w:lang w:val="en-US" w:eastAsia="zh-CN"/>
        </w:rPr>
        <w:t>Charge Transfer and Exciton Lifetimes</w:t>
      </w:r>
    </w:p>
    <w:p w14:paraId="6EF8237F" w14:textId="58125133" w:rsidR="00D944A4" w:rsidRPr="006D6FC6" w:rsidRDefault="00D25A20" w:rsidP="006D6FC6">
      <w:pPr>
        <w:widowControl w:val="0"/>
        <w:spacing w:beforeLines="100" w:before="240" w:after="100" w:line="360" w:lineRule="auto"/>
        <w:rPr>
          <w:rFonts w:eastAsia="Times New Roman"/>
          <w:kern w:val="2"/>
          <w:lang w:eastAsia="zh-CN"/>
        </w:rPr>
      </w:pPr>
      <w:r w:rsidRPr="006D6FC6">
        <w:rPr>
          <w:rFonts w:eastAsia="Times New Roman"/>
          <w:kern w:val="2"/>
          <w:lang w:eastAsia="zh-CN"/>
        </w:rPr>
        <w:t>To further elucidate the high-efficiency photoelectric conversion mechanism in OSCs employing asymmetric NFREAs, we employed femtosecond time-resolved absorption spectroscopy (fs-TA) to investigate the exciton dynamics within donor-acceptor blend films</w:t>
      </w:r>
      <w:r w:rsidR="00D01A05">
        <w:rPr>
          <w:rFonts w:eastAsiaTheme="minorEastAsia" w:hint="eastAsia"/>
          <w:kern w:val="2"/>
          <w:lang w:eastAsia="zh-CN"/>
        </w:rPr>
        <w:t xml:space="preserve"> </w:t>
      </w:r>
      <w:r w:rsidRPr="006D6FC6">
        <w:rPr>
          <w:rFonts w:eastAsia="Times New Roman"/>
          <w:kern w:val="2"/>
          <w:lang w:eastAsia="zh-CN"/>
        </w:rPr>
        <w:t>[20,</w:t>
      </w:r>
      <w:r w:rsidR="00D01A05">
        <w:rPr>
          <w:rFonts w:eastAsiaTheme="minorEastAsia" w:hint="eastAsia"/>
          <w:kern w:val="2"/>
          <w:lang w:eastAsia="zh-CN"/>
        </w:rPr>
        <w:t xml:space="preserve"> </w:t>
      </w:r>
      <w:r w:rsidRPr="006D6FC6">
        <w:rPr>
          <w:rFonts w:eastAsia="Times New Roman"/>
          <w:kern w:val="2"/>
          <w:lang w:eastAsia="zh-CN"/>
        </w:rPr>
        <w:t>4</w:t>
      </w:r>
      <w:r w:rsidR="000D3A42" w:rsidRPr="006D6FC6">
        <w:rPr>
          <w:rFonts w:eastAsia="Times New Roman"/>
          <w:kern w:val="2"/>
          <w:lang w:eastAsia="zh-CN"/>
        </w:rPr>
        <w:t>8</w:t>
      </w:r>
      <w:r w:rsidRPr="006D6FC6">
        <w:rPr>
          <w:rFonts w:eastAsia="Times New Roman"/>
          <w:kern w:val="2"/>
          <w:lang w:eastAsia="zh-CN"/>
        </w:rPr>
        <w:t>-</w:t>
      </w:r>
      <w:r w:rsidR="000D3A42" w:rsidRPr="006D6FC6">
        <w:rPr>
          <w:rFonts w:eastAsia="Times New Roman"/>
          <w:kern w:val="2"/>
          <w:lang w:eastAsia="zh-CN"/>
        </w:rPr>
        <w:t>50</w:t>
      </w:r>
      <w:r w:rsidRPr="006D6FC6">
        <w:rPr>
          <w:rFonts w:eastAsia="Times New Roman"/>
          <w:kern w:val="2"/>
          <w:lang w:eastAsia="zh-CN"/>
        </w:rPr>
        <w:t xml:space="preserve">], with the results shown in </w:t>
      </w:r>
      <w:r w:rsidR="00D01A05">
        <w:rPr>
          <w:rFonts w:eastAsia="Times New Roman"/>
          <w:b/>
          <w:bCs/>
          <w:kern w:val="2"/>
          <w:lang w:eastAsia="zh-CN"/>
        </w:rPr>
        <w:t>Fig.</w:t>
      </w:r>
      <w:r w:rsidRPr="006D6FC6">
        <w:rPr>
          <w:rFonts w:eastAsia="Times New Roman"/>
          <w:b/>
          <w:bCs/>
          <w:kern w:val="2"/>
          <w:lang w:eastAsia="zh-CN"/>
        </w:rPr>
        <w:t xml:space="preserve"> 4</w:t>
      </w:r>
      <w:r w:rsidRPr="006D6FC6">
        <w:rPr>
          <w:rFonts w:eastAsia="Times New Roman"/>
          <w:kern w:val="2"/>
          <w:lang w:eastAsia="zh-CN"/>
        </w:rPr>
        <w:t xml:space="preserve">. In </w:t>
      </w:r>
      <w:r w:rsidR="00D01A05">
        <w:rPr>
          <w:rFonts w:eastAsia="Times New Roman"/>
          <w:b/>
          <w:bCs/>
          <w:kern w:val="2"/>
          <w:lang w:eastAsia="zh-CN"/>
        </w:rPr>
        <w:t>Fig.</w:t>
      </w:r>
      <w:r w:rsidRPr="006D6FC6">
        <w:rPr>
          <w:rFonts w:eastAsia="Times New Roman"/>
          <w:b/>
          <w:bCs/>
          <w:kern w:val="2"/>
          <w:lang w:eastAsia="zh-CN"/>
        </w:rPr>
        <w:t xml:space="preserve"> 4a</w:t>
      </w:r>
      <w:r w:rsidR="00D01A05">
        <w:rPr>
          <w:rFonts w:eastAsiaTheme="minorEastAsia" w:hint="eastAsia"/>
          <w:b/>
          <w:bCs/>
          <w:kern w:val="2"/>
          <w:lang w:eastAsia="zh-CN"/>
        </w:rPr>
        <w:t xml:space="preserve">, </w:t>
      </w:r>
      <w:r w:rsidRPr="006D6FC6">
        <w:rPr>
          <w:rFonts w:eastAsia="Times New Roman"/>
          <w:b/>
          <w:bCs/>
          <w:kern w:val="2"/>
          <w:lang w:eastAsia="zh-CN"/>
        </w:rPr>
        <w:t>b</w:t>
      </w:r>
      <w:r w:rsidRPr="006D6FC6">
        <w:rPr>
          <w:rFonts w:eastAsia="Times New Roman"/>
          <w:kern w:val="2"/>
          <w:lang w:eastAsia="zh-CN"/>
        </w:rPr>
        <w:t xml:space="preserve">, by exciting the acceptor material with a specific 800-nm wavelength light, we were able to elucidate the hole transfer mechanisms in these blend films. Initially, we detected two ground state bleaching (GSB) negative signals for the acceptor molecules, positioned within the 650–750 nm and 750–850 nm spectral ranges, respectively. Subsequently, for the donor D18, efficient hole transfer from the acceptor to the donor resulted in the emergence of two prominent GSB negative peaks at approximately 550 and 600 nm. Furthermore, the positive peak observed around 750-760 nm can be attributed to the absorption characteristics of the charge-separated state, aligning with the data presented in </w:t>
      </w:r>
      <w:r w:rsidR="00D01A05">
        <w:rPr>
          <w:rFonts w:eastAsia="Times New Roman"/>
          <w:b/>
          <w:bCs/>
          <w:kern w:val="2"/>
          <w:lang w:eastAsia="zh-CN"/>
        </w:rPr>
        <w:t>Fig.</w:t>
      </w:r>
      <w:r w:rsidRPr="006D6FC6">
        <w:rPr>
          <w:rFonts w:eastAsia="Times New Roman"/>
          <w:b/>
          <w:bCs/>
          <w:kern w:val="2"/>
          <w:lang w:eastAsia="zh-CN"/>
        </w:rPr>
        <w:t xml:space="preserve"> S4</w:t>
      </w:r>
      <w:r w:rsidRPr="006D6FC6">
        <w:rPr>
          <w:rFonts w:eastAsia="Times New Roman"/>
          <w:kern w:val="2"/>
          <w:lang w:eastAsia="zh-CN"/>
        </w:rPr>
        <w:t xml:space="preserve">. To gain deeper insights into the dynamic process of hole transfer at the donor/acceptor (D/A) interface, we conducted a fitting analysis of the GSB data at 600 nm using a double-exponential function. The results are displayed in </w:t>
      </w:r>
      <w:r w:rsidR="00D01A05">
        <w:rPr>
          <w:rFonts w:eastAsia="Times New Roman"/>
          <w:b/>
          <w:bCs/>
          <w:kern w:val="2"/>
          <w:lang w:eastAsia="zh-CN"/>
        </w:rPr>
        <w:t>Fig.</w:t>
      </w:r>
      <w:r w:rsidRPr="006D6FC6">
        <w:rPr>
          <w:rFonts w:eastAsia="Times New Roman"/>
          <w:b/>
          <w:bCs/>
          <w:kern w:val="2"/>
          <w:lang w:eastAsia="zh-CN"/>
        </w:rPr>
        <w:t xml:space="preserve"> 4c</w:t>
      </w:r>
      <w:r w:rsidR="00D01A05">
        <w:rPr>
          <w:rFonts w:eastAsiaTheme="minorEastAsia" w:hint="eastAsia"/>
          <w:b/>
          <w:bCs/>
          <w:kern w:val="2"/>
          <w:lang w:eastAsia="zh-CN"/>
        </w:rPr>
        <w:t xml:space="preserve">, </w:t>
      </w:r>
      <w:r w:rsidRPr="006D6FC6">
        <w:rPr>
          <w:rFonts w:eastAsia="Times New Roman"/>
          <w:b/>
          <w:bCs/>
          <w:kern w:val="2"/>
          <w:lang w:eastAsia="zh-CN"/>
        </w:rPr>
        <w:t>d</w:t>
      </w:r>
      <w:r w:rsidRPr="006D6FC6">
        <w:rPr>
          <w:rFonts w:eastAsia="Times New Roman"/>
          <w:kern w:val="2"/>
          <w:lang w:eastAsia="zh-CN"/>
        </w:rPr>
        <w:t xml:space="preserve">, and detailed fitting parameters are provided in </w:t>
      </w:r>
      <w:r w:rsidRPr="006D6FC6">
        <w:rPr>
          <w:rFonts w:eastAsia="Times New Roman"/>
          <w:b/>
          <w:bCs/>
          <w:kern w:val="2"/>
          <w:lang w:eastAsia="zh-CN"/>
        </w:rPr>
        <w:t>Table S2</w:t>
      </w:r>
      <w:r w:rsidRPr="006D6FC6">
        <w:rPr>
          <w:rFonts w:eastAsia="Times New Roman"/>
          <w:kern w:val="2"/>
          <w:lang w:eastAsia="zh-CN"/>
        </w:rPr>
        <w:t xml:space="preserve"> (see SI). Specifically, the </w:t>
      </w:r>
      <w:r w:rsidRPr="006D6FC6">
        <w:rPr>
          <w:rFonts w:eastAsia="Times New Roman"/>
          <w:i/>
          <w:iCs/>
          <w:kern w:val="2"/>
          <w:lang w:eastAsia="zh-CN"/>
        </w:rPr>
        <w:t>τ</w:t>
      </w:r>
      <w:r w:rsidRPr="006D6FC6">
        <w:rPr>
          <w:rFonts w:eastAsia="Times New Roman"/>
          <w:kern w:val="2"/>
          <w:vertAlign w:val="subscript"/>
          <w:lang w:eastAsia="zh-CN"/>
        </w:rPr>
        <w:t xml:space="preserve">1 </w:t>
      </w:r>
      <w:r w:rsidRPr="006D6FC6">
        <w:rPr>
          <w:rFonts w:eastAsia="Times New Roman"/>
          <w:kern w:val="2"/>
          <w:lang w:eastAsia="zh-CN"/>
        </w:rPr>
        <w:t xml:space="preserve">parameter derived from the double-exponential function fitting signifies the exciton dissociation process at the D/A interface, while the </w:t>
      </w:r>
      <w:r w:rsidRPr="006D6FC6">
        <w:rPr>
          <w:rFonts w:eastAsia="Times New Roman"/>
          <w:i/>
          <w:iCs/>
          <w:kern w:val="2"/>
          <w:lang w:eastAsia="zh-CN"/>
        </w:rPr>
        <w:t>τ</w:t>
      </w:r>
      <w:r w:rsidRPr="006D6FC6">
        <w:rPr>
          <w:rFonts w:eastAsia="Times New Roman"/>
          <w:kern w:val="2"/>
          <w:vertAlign w:val="subscript"/>
          <w:lang w:eastAsia="zh-CN"/>
        </w:rPr>
        <w:t>2</w:t>
      </w:r>
      <w:r w:rsidRPr="006D6FC6">
        <w:rPr>
          <w:rFonts w:eastAsia="Times New Roman"/>
          <w:kern w:val="2"/>
          <w:lang w:eastAsia="zh-CN"/>
        </w:rPr>
        <w:t xml:space="preserve"> parameter reflects the exciton diffusion from the domain to the D/A interface. For a comprehensive understanding of the determined time constants (</w:t>
      </w:r>
      <w:r w:rsidRPr="006D6FC6">
        <w:rPr>
          <w:rFonts w:eastAsia="Times New Roman"/>
          <w:i/>
          <w:iCs/>
          <w:kern w:val="2"/>
          <w:lang w:eastAsia="zh-CN"/>
        </w:rPr>
        <w:t>τ</w:t>
      </w:r>
      <w:r w:rsidRPr="006D6FC6">
        <w:rPr>
          <w:rFonts w:eastAsia="Times New Roman"/>
          <w:kern w:val="2"/>
          <w:lang w:eastAsia="zh-CN"/>
        </w:rPr>
        <w:t xml:space="preserve">) in the blend films, refer to </w:t>
      </w:r>
      <w:r w:rsidRPr="006D6FC6">
        <w:rPr>
          <w:rFonts w:eastAsia="Times New Roman"/>
          <w:b/>
          <w:bCs/>
          <w:kern w:val="2"/>
          <w:lang w:eastAsia="zh-CN"/>
        </w:rPr>
        <w:t>Table S2</w:t>
      </w:r>
      <w:r w:rsidRPr="006D6FC6">
        <w:rPr>
          <w:rFonts w:eastAsia="Times New Roman"/>
          <w:kern w:val="2"/>
          <w:lang w:eastAsia="zh-CN"/>
        </w:rPr>
        <w:t xml:space="preserve">. In particular, the D18: </w:t>
      </w:r>
      <w:r w:rsidRPr="006D6FC6">
        <w:rPr>
          <w:rFonts w:eastAsia="Times New Roman"/>
          <w:b/>
          <w:bCs/>
          <w:kern w:val="2"/>
          <w:lang w:eastAsia="zh-CN"/>
        </w:rPr>
        <w:t>TT-Ph-C6</w:t>
      </w:r>
      <w:r w:rsidRPr="006D6FC6">
        <w:rPr>
          <w:rFonts w:eastAsia="Times New Roman"/>
          <w:kern w:val="2"/>
          <w:lang w:eastAsia="zh-CN"/>
        </w:rPr>
        <w:t xml:space="preserve"> blend film exhibits time constants of </w:t>
      </w:r>
      <w:r w:rsidRPr="006D6FC6">
        <w:rPr>
          <w:rFonts w:eastAsia="Times New Roman"/>
          <w:i/>
          <w:iCs/>
          <w:kern w:val="2"/>
          <w:lang w:eastAsia="zh-CN"/>
        </w:rPr>
        <w:t>τ</w:t>
      </w:r>
      <w:r w:rsidRPr="006D6FC6">
        <w:rPr>
          <w:rFonts w:eastAsia="Times New Roman"/>
          <w:kern w:val="2"/>
          <w:vertAlign w:val="subscript"/>
          <w:lang w:eastAsia="zh-CN"/>
        </w:rPr>
        <w:t>1</w:t>
      </w:r>
      <w:r w:rsidRPr="006D6FC6">
        <w:rPr>
          <w:rFonts w:eastAsia="Times New Roman"/>
          <w:kern w:val="2"/>
          <w:lang w:eastAsia="zh-CN"/>
        </w:rPr>
        <w:t xml:space="preserve"> = 1.40 ± 0.19 ps and </w:t>
      </w:r>
      <w:r w:rsidRPr="006D6FC6">
        <w:rPr>
          <w:rFonts w:eastAsia="Times New Roman"/>
          <w:i/>
          <w:iCs/>
          <w:kern w:val="2"/>
          <w:lang w:eastAsia="zh-CN"/>
        </w:rPr>
        <w:t>τ</w:t>
      </w:r>
      <w:r w:rsidRPr="006D6FC6">
        <w:rPr>
          <w:rFonts w:eastAsia="Times New Roman"/>
          <w:kern w:val="2"/>
          <w:vertAlign w:val="subscript"/>
          <w:lang w:eastAsia="zh-CN"/>
        </w:rPr>
        <w:t>2</w:t>
      </w:r>
      <w:r w:rsidRPr="006D6FC6">
        <w:rPr>
          <w:rFonts w:eastAsia="Times New Roman"/>
          <w:kern w:val="2"/>
          <w:lang w:eastAsia="zh-CN"/>
        </w:rPr>
        <w:t xml:space="preserve"> = 26.91 ± 1.70 ps; whereas the D18:2BTh-2F blend film demonstrates time constants of </w:t>
      </w:r>
      <w:r w:rsidRPr="006D6FC6">
        <w:rPr>
          <w:rFonts w:eastAsia="Times New Roman"/>
          <w:i/>
          <w:iCs/>
          <w:kern w:val="2"/>
          <w:lang w:eastAsia="zh-CN"/>
        </w:rPr>
        <w:t>τ</w:t>
      </w:r>
      <w:r w:rsidRPr="006D6FC6">
        <w:rPr>
          <w:rFonts w:eastAsia="Times New Roman"/>
          <w:kern w:val="2"/>
          <w:vertAlign w:val="subscript"/>
          <w:lang w:eastAsia="zh-CN"/>
        </w:rPr>
        <w:t>1</w:t>
      </w:r>
      <w:r w:rsidRPr="006D6FC6">
        <w:rPr>
          <w:rFonts w:eastAsia="Times New Roman"/>
          <w:kern w:val="2"/>
          <w:lang w:eastAsia="zh-CN"/>
        </w:rPr>
        <w:t xml:space="preserve"> = 2.23 ± 0.27 ps and </w:t>
      </w:r>
      <w:r w:rsidRPr="006D6FC6">
        <w:rPr>
          <w:rFonts w:eastAsia="Times New Roman"/>
          <w:i/>
          <w:iCs/>
          <w:kern w:val="2"/>
          <w:lang w:eastAsia="zh-CN"/>
        </w:rPr>
        <w:t>τ</w:t>
      </w:r>
      <w:r w:rsidRPr="006D6FC6">
        <w:rPr>
          <w:rFonts w:eastAsia="Times New Roman"/>
          <w:kern w:val="2"/>
          <w:vertAlign w:val="subscript"/>
          <w:lang w:eastAsia="zh-CN"/>
        </w:rPr>
        <w:t>2</w:t>
      </w:r>
      <w:r w:rsidRPr="006D6FC6">
        <w:rPr>
          <w:rFonts w:eastAsia="Times New Roman"/>
          <w:kern w:val="2"/>
          <w:lang w:eastAsia="zh-CN"/>
        </w:rPr>
        <w:t xml:space="preserve"> = 35.12 ± 2.87 ps. Moreover, we comprehensively considered the hole transport dynamics within the blend films and the exciton decay dynamics of the pure acceptor, allowing for a qualitative estimation of the hole transfer efficiency (HTE)</w:t>
      </w:r>
      <w:r w:rsidRPr="006D6FC6">
        <w:rPr>
          <w:rFonts w:eastAsia="Times New Roman"/>
          <w:kern w:val="2"/>
          <w:vertAlign w:val="superscript"/>
          <w:lang w:eastAsia="zh-CN"/>
        </w:rPr>
        <w:t xml:space="preserve"> </w:t>
      </w:r>
      <w:r w:rsidRPr="006D6FC6">
        <w:rPr>
          <w:rFonts w:eastAsia="Times New Roman"/>
          <w:kern w:val="2"/>
          <w:lang w:eastAsia="zh-CN"/>
        </w:rPr>
        <w:t>[</w:t>
      </w:r>
      <w:r w:rsidR="000D3A42" w:rsidRPr="006D6FC6">
        <w:rPr>
          <w:rFonts w:eastAsia="Times New Roman"/>
          <w:kern w:val="2"/>
          <w:lang w:eastAsia="zh-CN"/>
        </w:rPr>
        <w:t>51</w:t>
      </w:r>
      <w:r w:rsidRPr="006D6FC6">
        <w:rPr>
          <w:rFonts w:eastAsia="Times New Roman"/>
          <w:kern w:val="2"/>
          <w:lang w:eastAsia="zh-CN"/>
        </w:rPr>
        <w:t xml:space="preserve">], the detailed calculation process and results are provided in the </w:t>
      </w:r>
      <w:r w:rsidRPr="006D6FC6">
        <w:rPr>
          <w:rFonts w:eastAsia="Times New Roman"/>
          <w:b/>
          <w:bCs/>
          <w:kern w:val="2"/>
          <w:lang w:eastAsia="zh-CN"/>
        </w:rPr>
        <w:t>Table S3</w:t>
      </w:r>
      <w:r w:rsidRPr="006D6FC6">
        <w:rPr>
          <w:rFonts w:eastAsia="Times New Roman"/>
          <w:kern w:val="2"/>
          <w:lang w:eastAsia="zh-CN"/>
        </w:rPr>
        <w:t xml:space="preserve">, the hole transfer efficiency of increased from 86.3% (D18:2BTh-2F) to 91.2% (D18: </w:t>
      </w:r>
      <w:r w:rsidRPr="006D6FC6">
        <w:rPr>
          <w:rFonts w:eastAsia="Times New Roman"/>
          <w:b/>
          <w:bCs/>
          <w:kern w:val="2"/>
          <w:lang w:eastAsia="zh-CN"/>
        </w:rPr>
        <w:t>TT-Ph-C6</w:t>
      </w:r>
      <w:r w:rsidRPr="006D6FC6">
        <w:rPr>
          <w:rFonts w:eastAsia="Times New Roman"/>
          <w:kern w:val="2"/>
          <w:lang w:eastAsia="zh-CN"/>
        </w:rPr>
        <w:t>). Notably, the D18:</w:t>
      </w:r>
      <w:r w:rsidRPr="006D6FC6">
        <w:rPr>
          <w:rFonts w:eastAsia="Times New Roman"/>
          <w:b/>
          <w:bCs/>
          <w:kern w:val="2"/>
          <w:lang w:eastAsia="zh-CN"/>
        </w:rPr>
        <w:t>TT-Ph-C6</w:t>
      </w:r>
      <w:r w:rsidRPr="006D6FC6">
        <w:rPr>
          <w:rFonts w:eastAsia="Times New Roman"/>
          <w:kern w:val="2"/>
          <w:lang w:eastAsia="zh-CN"/>
        </w:rPr>
        <w:t xml:space="preserve"> blend film showcases a faster electron transfer rate, which is highly advantageous for charge generation and collection in OSCs, resulting in a significant enhancement in the overall device performance, particularly in terms of the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and FF. </w:t>
      </w:r>
    </w:p>
    <w:p w14:paraId="26779FB4" w14:textId="311AED08" w:rsidR="00D944A4" w:rsidRPr="006D6FC6" w:rsidRDefault="00D25A20" w:rsidP="006D6FC6">
      <w:pPr>
        <w:widowControl w:val="0"/>
        <w:spacing w:beforeLines="100" w:before="240" w:after="100" w:line="360" w:lineRule="auto"/>
        <w:rPr>
          <w:rFonts w:eastAsia="Times New Roman"/>
          <w:kern w:val="2"/>
          <w:lang w:eastAsia="zh-CN"/>
        </w:rPr>
      </w:pPr>
      <w:r w:rsidRPr="006D6FC6">
        <w:rPr>
          <w:rFonts w:eastAsia="Times New Roman"/>
          <w:kern w:val="2"/>
          <w:lang w:eastAsia="zh-CN"/>
        </w:rPr>
        <w:t xml:space="preserve">Subsequently, we utilized fs-TA spectroscopy to precisely measure the exciton diffusion lengths in </w:t>
      </w:r>
      <w:r w:rsidRPr="006D6FC6">
        <w:rPr>
          <w:rFonts w:eastAsia="Times New Roman"/>
          <w:b/>
          <w:bCs/>
          <w:kern w:val="2"/>
          <w:lang w:eastAsia="zh-CN"/>
        </w:rPr>
        <w:t>TT-Ph-C6</w:t>
      </w:r>
      <w:r w:rsidRPr="006D6FC6">
        <w:rPr>
          <w:rFonts w:eastAsia="Times New Roman"/>
          <w:kern w:val="2"/>
          <w:lang w:eastAsia="zh-CN"/>
        </w:rPr>
        <w:t xml:space="preserve"> and 2BTh-2F. This sophisticated methodology hinges on the observation of two pivotal physical phenomena: firstly, the decay of monomolecular excitons to the ground state at low excitation densities; and secondly, the bimolecular exciton-exciton annihilation occurring at elevated excitation densities</w:t>
      </w:r>
      <w:r w:rsidR="00D01A05">
        <w:rPr>
          <w:rFonts w:eastAsiaTheme="minorEastAsia" w:hint="eastAsia"/>
          <w:kern w:val="2"/>
          <w:lang w:eastAsia="zh-CN"/>
        </w:rPr>
        <w:t xml:space="preserve"> </w:t>
      </w:r>
      <w:r w:rsidRPr="006D6FC6">
        <w:rPr>
          <w:rFonts w:eastAsia="Times New Roman"/>
          <w:kern w:val="2"/>
          <w:lang w:eastAsia="zh-CN"/>
        </w:rPr>
        <w:t>[27,</w:t>
      </w:r>
      <w:r w:rsidR="00D01A05">
        <w:rPr>
          <w:rFonts w:eastAsiaTheme="minorEastAsia" w:hint="eastAsia"/>
          <w:kern w:val="2"/>
          <w:lang w:eastAsia="zh-CN"/>
        </w:rPr>
        <w:t xml:space="preserve"> </w:t>
      </w:r>
      <w:r w:rsidR="000D3A42" w:rsidRPr="006D6FC6">
        <w:rPr>
          <w:rFonts w:eastAsia="Times New Roman"/>
          <w:kern w:val="2"/>
          <w:lang w:eastAsia="zh-CN"/>
        </w:rPr>
        <w:t>52</w:t>
      </w:r>
      <w:r w:rsidRPr="006D6FC6">
        <w:rPr>
          <w:rFonts w:eastAsia="Times New Roman"/>
          <w:kern w:val="2"/>
          <w:lang w:eastAsia="zh-CN"/>
        </w:rPr>
        <w:t xml:space="preserve">]. It is important to highlight that the extent of photoinduced absorption is markedly influenced by the luminescence intensity. When excited by light at a wavelength of 750 nanometers, the </w:t>
      </w:r>
      <w:r w:rsidRPr="006D6FC6">
        <w:rPr>
          <w:rFonts w:eastAsia="Times New Roman"/>
          <w:b/>
          <w:bCs/>
          <w:kern w:val="2"/>
          <w:lang w:eastAsia="zh-CN"/>
        </w:rPr>
        <w:t>TT-Ph-C6</w:t>
      </w:r>
      <w:r w:rsidRPr="006D6FC6">
        <w:rPr>
          <w:rFonts w:eastAsia="Times New Roman"/>
          <w:kern w:val="2"/>
          <w:lang w:eastAsia="zh-CN"/>
        </w:rPr>
        <w:t xml:space="preserve"> and 2BTh-2F films displayed broad-spectrum GSB features, as depicted in </w:t>
      </w:r>
      <w:r w:rsidR="00D01A05">
        <w:rPr>
          <w:rFonts w:eastAsia="Times New Roman"/>
          <w:b/>
          <w:bCs/>
          <w:kern w:val="2"/>
          <w:lang w:eastAsia="zh-CN"/>
        </w:rPr>
        <w:t>Fig.</w:t>
      </w:r>
      <w:r w:rsidRPr="006D6FC6">
        <w:rPr>
          <w:rFonts w:eastAsia="Times New Roman"/>
          <w:b/>
          <w:bCs/>
          <w:kern w:val="2"/>
          <w:lang w:eastAsia="zh-CN"/>
        </w:rPr>
        <w:t xml:space="preserve"> S5</w:t>
      </w:r>
      <w:r w:rsidRPr="006D6FC6">
        <w:rPr>
          <w:rFonts w:eastAsia="Times New Roman"/>
          <w:kern w:val="2"/>
          <w:lang w:eastAsia="zh-CN"/>
        </w:rPr>
        <w:t xml:space="preserve">. As depicted in </w:t>
      </w:r>
      <w:r w:rsidR="00D01A05">
        <w:rPr>
          <w:rFonts w:eastAsia="Times New Roman"/>
          <w:b/>
          <w:bCs/>
          <w:kern w:val="2"/>
          <w:lang w:eastAsia="zh-CN"/>
        </w:rPr>
        <w:t>Fig.</w:t>
      </w:r>
      <w:r w:rsidRPr="006D6FC6">
        <w:rPr>
          <w:rFonts w:eastAsia="Times New Roman"/>
          <w:b/>
          <w:bCs/>
          <w:kern w:val="2"/>
          <w:lang w:eastAsia="zh-CN"/>
        </w:rPr>
        <w:t xml:space="preserve"> 4e</w:t>
      </w:r>
      <w:r w:rsidR="00D01A05">
        <w:rPr>
          <w:rFonts w:eastAsiaTheme="minorEastAsia" w:hint="eastAsia"/>
          <w:b/>
          <w:bCs/>
          <w:kern w:val="2"/>
          <w:lang w:eastAsia="zh-CN"/>
        </w:rPr>
        <w:t xml:space="preserve">, </w:t>
      </w:r>
      <w:r w:rsidRPr="006D6FC6">
        <w:rPr>
          <w:rFonts w:eastAsia="Times New Roman"/>
          <w:b/>
          <w:bCs/>
          <w:kern w:val="2"/>
          <w:lang w:eastAsia="zh-CN"/>
        </w:rPr>
        <w:t>f</w:t>
      </w:r>
      <w:r w:rsidRPr="006D6FC6">
        <w:rPr>
          <w:rFonts w:eastAsia="Times New Roman"/>
          <w:kern w:val="2"/>
          <w:lang w:eastAsia="zh-CN"/>
        </w:rPr>
        <w:t>, at a lower excitation density of 1.03 μJ cm</w:t>
      </w:r>
      <w:r w:rsidRPr="006D6FC6">
        <w:rPr>
          <w:rFonts w:eastAsia="Times New Roman"/>
          <w:kern w:val="2"/>
          <w:vertAlign w:val="superscript"/>
          <w:lang w:eastAsia="zh-CN"/>
        </w:rPr>
        <w:t>-2</w:t>
      </w:r>
      <w:r w:rsidRPr="006D6FC6">
        <w:rPr>
          <w:rFonts w:eastAsia="Times New Roman"/>
          <w:kern w:val="2"/>
          <w:lang w:eastAsia="zh-CN"/>
        </w:rPr>
        <w:t xml:space="preserve">, the half-lives of pristine </w:t>
      </w:r>
      <w:r w:rsidRPr="006D6FC6">
        <w:rPr>
          <w:rFonts w:eastAsia="Times New Roman"/>
          <w:b/>
          <w:bCs/>
          <w:kern w:val="2"/>
          <w:lang w:eastAsia="zh-CN"/>
        </w:rPr>
        <w:t>TT-Ph-C6</w:t>
      </w:r>
      <w:r w:rsidRPr="006D6FC6">
        <w:rPr>
          <w:rFonts w:eastAsia="Times New Roman"/>
          <w:kern w:val="2"/>
          <w:lang w:eastAsia="zh-CN"/>
        </w:rPr>
        <w:t xml:space="preserve"> and 2BTh-2F films were measured to be approximately 20.17 and 13.30 ps, respectively. However, upon increasing the excitation density to 98.86 μJ cm</w:t>
      </w:r>
      <w:r w:rsidRPr="006D6FC6">
        <w:rPr>
          <w:rFonts w:eastAsia="Times New Roman"/>
          <w:kern w:val="2"/>
          <w:vertAlign w:val="superscript"/>
          <w:lang w:eastAsia="zh-CN"/>
        </w:rPr>
        <w:t>-2</w:t>
      </w:r>
      <w:r w:rsidRPr="006D6FC6">
        <w:rPr>
          <w:rFonts w:eastAsia="Times New Roman"/>
          <w:kern w:val="2"/>
          <w:lang w:eastAsia="zh-CN"/>
        </w:rPr>
        <w:t xml:space="preserve">, a significant reduction in the half-lives of these films was observed, dropping to 1.31 and 1.61 ps, respectively. Detailed data pertaining to these measurements are provided in </w:t>
      </w:r>
      <w:r w:rsidRPr="006D6FC6">
        <w:rPr>
          <w:rFonts w:eastAsia="Times New Roman"/>
          <w:b/>
          <w:bCs/>
          <w:kern w:val="2"/>
          <w:lang w:eastAsia="zh-CN"/>
        </w:rPr>
        <w:t>Table S4</w:t>
      </w:r>
      <w:r w:rsidRPr="006D6FC6">
        <w:rPr>
          <w:rFonts w:eastAsia="Times New Roman"/>
          <w:kern w:val="2"/>
          <w:lang w:eastAsia="zh-CN"/>
        </w:rPr>
        <w:t xml:space="preserve">. By employing the formula </w:t>
      </w:r>
      <w:r w:rsidRPr="006D6FC6">
        <w:rPr>
          <w:rFonts w:eastAsia="Times New Roman"/>
          <w:i/>
          <w:iCs/>
          <w:kern w:val="2"/>
          <w:lang w:eastAsia="zh-CN"/>
        </w:rPr>
        <w:t>L</w:t>
      </w:r>
      <w:r w:rsidRPr="006D6FC6">
        <w:rPr>
          <w:rFonts w:eastAsia="Times New Roman"/>
          <w:kern w:val="2"/>
          <w:vertAlign w:val="subscript"/>
          <w:lang w:eastAsia="zh-CN"/>
        </w:rPr>
        <w:t>D</w:t>
      </w:r>
      <w:r w:rsidRPr="006D6FC6">
        <w:rPr>
          <w:rFonts w:eastAsia="Times New Roman"/>
          <w:kern w:val="2"/>
          <w:lang w:eastAsia="zh-CN"/>
        </w:rPr>
        <w:t xml:space="preserve"> = (</w:t>
      </w:r>
      <w:r w:rsidRPr="006D6FC6">
        <w:rPr>
          <w:rFonts w:eastAsia="Times New Roman"/>
          <w:i/>
          <w:iCs/>
          <w:kern w:val="2"/>
          <w:lang w:eastAsia="zh-CN"/>
        </w:rPr>
        <w:t>Dτ</w:t>
      </w:r>
      <w:r w:rsidRPr="006D6FC6">
        <w:rPr>
          <w:rFonts w:eastAsia="Times New Roman"/>
          <w:kern w:val="2"/>
          <w:lang w:eastAsia="zh-CN"/>
        </w:rPr>
        <w:t>)</w:t>
      </w:r>
      <w:r w:rsidRPr="006D6FC6">
        <w:rPr>
          <w:rFonts w:eastAsia="Times New Roman"/>
          <w:kern w:val="2"/>
          <w:vertAlign w:val="superscript"/>
          <w:lang w:eastAsia="zh-CN"/>
        </w:rPr>
        <w:t>1/2</w:t>
      </w:r>
      <w:r w:rsidRPr="006D6FC6">
        <w:rPr>
          <w:rFonts w:eastAsia="Times New Roman"/>
          <w:kern w:val="2"/>
          <w:lang w:eastAsia="zh-CN"/>
        </w:rPr>
        <w:t>, we determined the exciton diffusion lengths (</w:t>
      </w:r>
      <w:r w:rsidRPr="006D6FC6">
        <w:rPr>
          <w:rFonts w:eastAsia="Times New Roman"/>
          <w:i/>
          <w:iCs/>
          <w:kern w:val="2"/>
          <w:lang w:eastAsia="zh-CN"/>
        </w:rPr>
        <w:t>L</w:t>
      </w:r>
      <w:r w:rsidRPr="006D6FC6">
        <w:rPr>
          <w:rFonts w:eastAsia="Times New Roman"/>
          <w:kern w:val="2"/>
          <w:vertAlign w:val="subscript"/>
          <w:lang w:eastAsia="zh-CN"/>
        </w:rPr>
        <w:t>D</w:t>
      </w:r>
      <w:r w:rsidRPr="006D6FC6">
        <w:rPr>
          <w:rFonts w:eastAsia="Times New Roman"/>
          <w:kern w:val="2"/>
          <w:lang w:eastAsia="zh-CN"/>
        </w:rPr>
        <w:t xml:space="preserve">) for </w:t>
      </w:r>
      <w:r w:rsidRPr="006D6FC6">
        <w:rPr>
          <w:rFonts w:eastAsia="Times New Roman"/>
          <w:b/>
          <w:bCs/>
          <w:kern w:val="2"/>
          <w:lang w:eastAsia="zh-CN"/>
        </w:rPr>
        <w:t>TT-Ph-C6</w:t>
      </w:r>
      <w:r w:rsidRPr="006D6FC6">
        <w:rPr>
          <w:rFonts w:eastAsia="Times New Roman"/>
          <w:kern w:val="2"/>
          <w:lang w:eastAsia="zh-CN"/>
        </w:rPr>
        <w:t xml:space="preserve"> and 2BTh-2F to be 17.17 and 13.36 nm, respectively. The augmentation in exciton diffusion length suggests that charge recombination losses are effectively mitigated in </w:t>
      </w:r>
      <w:r w:rsidRPr="006D6FC6">
        <w:rPr>
          <w:rFonts w:eastAsia="Times New Roman"/>
          <w:b/>
          <w:bCs/>
          <w:kern w:val="2"/>
          <w:lang w:eastAsia="zh-CN"/>
        </w:rPr>
        <w:t>TT-Ph-C6</w:t>
      </w:r>
      <w:r w:rsidRPr="006D6FC6">
        <w:rPr>
          <w:rFonts w:eastAsia="Times New Roman"/>
          <w:kern w:val="2"/>
          <w:lang w:eastAsia="zh-CN"/>
        </w:rPr>
        <w:t xml:space="preserve">-based devices, thereby contributing to an enhancement in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w:t>
      </w:r>
    </w:p>
    <w:p w14:paraId="6EB5FAD6" w14:textId="77777777" w:rsidR="00D944A4" w:rsidRPr="006D6FC6" w:rsidRDefault="00D25A20" w:rsidP="006D6FC6">
      <w:pPr>
        <w:spacing w:beforeLines="100" w:before="240" w:afterLines="100" w:after="240" w:line="360" w:lineRule="auto"/>
        <w:rPr>
          <w:b/>
          <w:bCs/>
          <w:lang w:val="en-US"/>
        </w:rPr>
      </w:pPr>
      <w:r w:rsidRPr="006D6FC6">
        <w:rPr>
          <w:rFonts w:eastAsiaTheme="minorEastAsia" w:hint="eastAsia"/>
          <w:b/>
          <w:bCs/>
          <w:lang w:val="en-US" w:eastAsia="zh-CN"/>
        </w:rPr>
        <w:t>3</w:t>
      </w:r>
      <w:r w:rsidRPr="006D6FC6">
        <w:rPr>
          <w:rFonts w:eastAsiaTheme="minorEastAsia"/>
          <w:b/>
          <w:bCs/>
          <w:lang w:val="en-US" w:eastAsia="zh-CN"/>
        </w:rPr>
        <w:t xml:space="preserve">.5 </w:t>
      </w:r>
      <w:r w:rsidRPr="006D6FC6">
        <w:rPr>
          <w:b/>
          <w:bCs/>
          <w:lang w:val="en-US"/>
        </w:rPr>
        <w:t>Crystallinity</w:t>
      </w:r>
      <w:r w:rsidR="002E64BC" w:rsidRPr="006D6FC6">
        <w:rPr>
          <w:b/>
          <w:bCs/>
          <w:lang w:val="en-US"/>
        </w:rPr>
        <w:t xml:space="preserve"> and</w:t>
      </w:r>
      <w:r w:rsidRPr="006D6FC6">
        <w:rPr>
          <w:b/>
          <w:bCs/>
          <w:lang w:val="en-US"/>
        </w:rPr>
        <w:t xml:space="preserve"> Morphological Properties</w:t>
      </w:r>
    </w:p>
    <w:p w14:paraId="73ACB925" w14:textId="39204C35" w:rsidR="00D944A4" w:rsidRPr="006D6FC6" w:rsidRDefault="00D25A20" w:rsidP="006D6FC6">
      <w:pPr>
        <w:widowControl w:val="0"/>
        <w:spacing w:beforeLines="100" w:before="240" w:after="100" w:line="360" w:lineRule="auto"/>
        <w:rPr>
          <w:rFonts w:eastAsia="Times New Roman"/>
          <w:kern w:val="2"/>
          <w:lang w:eastAsia="zh-CN"/>
        </w:rPr>
      </w:pPr>
      <w:r w:rsidRPr="006D6FC6">
        <w:rPr>
          <w:rFonts w:eastAsia="Times New Roman"/>
          <w:kern w:val="2"/>
          <w:lang w:eastAsia="zh-CN"/>
        </w:rPr>
        <w:t xml:space="preserve">We utilized Grazing-Incidence Wide-Angle X-ray Scattering (GIWAXS) technique to delve into the crystalline properties, molecular orientation, and intricate molecular packing structures of pure acceptor films and donor-acceptor blend films. The observations unveiled a pronounced face-on molecular orientation, as depicted in </w:t>
      </w:r>
      <w:r w:rsidR="00D01A05">
        <w:rPr>
          <w:rFonts w:eastAsia="Times New Roman"/>
          <w:b/>
          <w:bCs/>
          <w:kern w:val="2"/>
          <w:lang w:eastAsia="zh-CN"/>
        </w:rPr>
        <w:t>Fig.</w:t>
      </w:r>
      <w:r w:rsidRPr="006D6FC6">
        <w:rPr>
          <w:rFonts w:eastAsia="Times New Roman"/>
          <w:b/>
          <w:bCs/>
          <w:kern w:val="2"/>
          <w:lang w:eastAsia="zh-CN"/>
        </w:rPr>
        <w:t xml:space="preserve"> 5</w:t>
      </w:r>
      <w:r w:rsidRPr="006D6FC6">
        <w:rPr>
          <w:rFonts w:eastAsia="Times New Roman"/>
          <w:kern w:val="2"/>
          <w:lang w:eastAsia="zh-CN"/>
        </w:rPr>
        <w:t xml:space="preserve">. Strikingly, in contrast to the 2BTh-2F film, the pure </w:t>
      </w:r>
      <w:r w:rsidRPr="006D6FC6">
        <w:rPr>
          <w:rFonts w:eastAsia="Times New Roman"/>
          <w:b/>
          <w:bCs/>
          <w:kern w:val="2"/>
          <w:lang w:eastAsia="zh-CN"/>
        </w:rPr>
        <w:t>TT-Ph-C6</w:t>
      </w:r>
      <w:r w:rsidRPr="006D6FC6">
        <w:rPr>
          <w:rFonts w:eastAsia="Times New Roman"/>
          <w:kern w:val="2"/>
          <w:lang w:eastAsia="zh-CN"/>
        </w:rPr>
        <w:t xml:space="preserve"> film demonstrated a more pronounced diffraction peak in the out-of-plane (OOP) direction, notably the sharp (010) diffraction peak, indicative of </w:t>
      </w:r>
      <w:r w:rsidRPr="006D6FC6">
        <w:rPr>
          <w:rFonts w:eastAsia="Times New Roman"/>
          <w:b/>
          <w:bCs/>
          <w:kern w:val="2"/>
          <w:lang w:eastAsia="zh-CN"/>
        </w:rPr>
        <w:t>TT-Ph-C6</w:t>
      </w:r>
      <w:r w:rsidRPr="006D6FC6">
        <w:rPr>
          <w:rFonts w:eastAsia="Times New Roman"/>
          <w:kern w:val="2"/>
          <w:lang w:eastAsia="zh-CN"/>
        </w:rPr>
        <w:t xml:space="preserve">'s higher crystallinity. Both the pristine </w:t>
      </w:r>
      <w:r w:rsidRPr="006D6FC6">
        <w:rPr>
          <w:rFonts w:eastAsia="Times New Roman"/>
          <w:b/>
          <w:bCs/>
          <w:kern w:val="2"/>
          <w:lang w:eastAsia="zh-CN"/>
        </w:rPr>
        <w:t>TT-Ph-C6</w:t>
      </w:r>
      <w:r w:rsidRPr="006D6FC6">
        <w:rPr>
          <w:rFonts w:eastAsia="Times New Roman"/>
          <w:kern w:val="2"/>
          <w:lang w:eastAsia="zh-CN"/>
        </w:rPr>
        <w:t xml:space="preserve"> and 2BTh-2F films exhibited a prevalent face-on orientation, with (010) diffraction peaks positioned at 1.71 and 1.69 Å⁻¹ in the OOP direction, corresponding to π-π stacking distances of 3.67 and 3.71 Å, respectively. Regarding blend films, the one-dimensional profiles and two-dimensional patterns revealed that both D18:</w:t>
      </w:r>
      <w:r w:rsidRPr="006D6FC6">
        <w:rPr>
          <w:rFonts w:eastAsia="Times New Roman"/>
          <w:b/>
          <w:bCs/>
          <w:kern w:val="2"/>
          <w:lang w:eastAsia="zh-CN"/>
        </w:rPr>
        <w:t xml:space="preserve">TT-Ph-C6 </w:t>
      </w:r>
      <w:r w:rsidRPr="006D6FC6">
        <w:rPr>
          <w:rFonts w:eastAsia="Times New Roman"/>
          <w:kern w:val="2"/>
          <w:lang w:eastAsia="zh-CN"/>
        </w:rPr>
        <w:t xml:space="preserve">and D18:2BTh-2F blend films also displayed face-on molecular orientation, with prominent (010) diffraction peaks at 1.69 and 1.68 Å⁻¹ in the OOP direction, corresponding to π-π stacking distances of 3.71 and 3.73 Å, respectively. Meanwhile, the corresponding one-dimensional map in the in-plane (IP) direction, along with the relevant data, can be found in </w:t>
      </w:r>
      <w:r w:rsidR="00D01A05">
        <w:rPr>
          <w:rFonts w:eastAsia="Times New Roman"/>
          <w:b/>
          <w:bCs/>
          <w:kern w:val="2"/>
          <w:lang w:eastAsia="zh-CN"/>
        </w:rPr>
        <w:t>Fig.</w:t>
      </w:r>
      <w:r w:rsidRPr="006D6FC6">
        <w:rPr>
          <w:rFonts w:eastAsia="Times New Roman"/>
          <w:b/>
          <w:bCs/>
          <w:kern w:val="2"/>
          <w:lang w:eastAsia="zh-CN"/>
        </w:rPr>
        <w:t xml:space="preserve"> S6</w:t>
      </w:r>
      <w:r w:rsidRPr="006D6FC6">
        <w:rPr>
          <w:rFonts w:eastAsia="Times New Roman"/>
          <w:kern w:val="2"/>
          <w:lang w:eastAsia="zh-CN"/>
        </w:rPr>
        <w:t xml:space="preserve">. To further assess molecular stacking, we employed the Scherrer equation (CCL = 2π × 0.89/FWHM, where FWHM denotes the full width at half maximum) to calculate the crystal coherence length (CCL). The results indicated that the (010) diffraction CCL values for </w:t>
      </w:r>
      <w:r w:rsidRPr="006D6FC6">
        <w:rPr>
          <w:rFonts w:eastAsia="Times New Roman"/>
          <w:b/>
          <w:bCs/>
          <w:kern w:val="2"/>
          <w:lang w:eastAsia="zh-CN"/>
        </w:rPr>
        <w:t>TT-Ph-C6</w:t>
      </w:r>
      <w:r w:rsidRPr="006D6FC6">
        <w:rPr>
          <w:rFonts w:eastAsia="Times New Roman"/>
          <w:kern w:val="2"/>
          <w:lang w:eastAsia="zh-CN"/>
        </w:rPr>
        <w:t xml:space="preserve"> and 2BTh-2F pure films in the OOP direction were 18.03 and 15.97 Å, respectively, highlighting the superior crystallinity of the </w:t>
      </w:r>
      <w:r w:rsidRPr="006D6FC6">
        <w:rPr>
          <w:rFonts w:eastAsia="Times New Roman"/>
          <w:b/>
          <w:bCs/>
          <w:kern w:val="2"/>
          <w:lang w:eastAsia="zh-CN"/>
        </w:rPr>
        <w:t>TT-Ph-C6</w:t>
      </w:r>
      <w:r w:rsidRPr="006D6FC6">
        <w:rPr>
          <w:rFonts w:eastAsia="Times New Roman"/>
          <w:kern w:val="2"/>
          <w:lang w:eastAsia="zh-CN"/>
        </w:rPr>
        <w:t xml:space="preserve"> film. Moreover, the CCL values for the (010) diffraction peaks of D18:</w:t>
      </w:r>
      <w:r w:rsidRPr="006D6FC6">
        <w:rPr>
          <w:rFonts w:eastAsia="Times New Roman"/>
          <w:b/>
          <w:bCs/>
          <w:kern w:val="2"/>
          <w:lang w:eastAsia="zh-CN"/>
        </w:rPr>
        <w:t>TT-Ph-C6</w:t>
      </w:r>
      <w:r w:rsidRPr="006D6FC6">
        <w:rPr>
          <w:rFonts w:eastAsia="Times New Roman"/>
          <w:kern w:val="2"/>
          <w:lang w:eastAsia="zh-CN"/>
        </w:rPr>
        <w:t xml:space="preserve"> and D18:2BTh-2F blend films in the OOP direction were 24.30 and 22.35 Å, respectively (</w:t>
      </w:r>
      <w:r w:rsidRPr="006D6FC6">
        <w:rPr>
          <w:rFonts w:eastAsia="Times New Roman"/>
          <w:b/>
          <w:bCs/>
          <w:kern w:val="2"/>
          <w:lang w:eastAsia="zh-CN"/>
        </w:rPr>
        <w:t>Table S5</w:t>
      </w:r>
      <w:r w:rsidRPr="006D6FC6">
        <w:rPr>
          <w:rFonts w:eastAsia="Times New Roman"/>
          <w:kern w:val="2"/>
          <w:lang w:eastAsia="zh-CN"/>
        </w:rPr>
        <w:t xml:space="preserve">), suggesting that the binary blend film based on </w:t>
      </w:r>
      <w:r w:rsidRPr="006D6FC6">
        <w:rPr>
          <w:rFonts w:eastAsia="Times New Roman"/>
          <w:b/>
          <w:bCs/>
          <w:kern w:val="2"/>
          <w:lang w:eastAsia="zh-CN"/>
        </w:rPr>
        <w:t>TT-Ph-C6</w:t>
      </w:r>
      <w:r w:rsidRPr="006D6FC6">
        <w:rPr>
          <w:rFonts w:eastAsia="Times New Roman"/>
          <w:kern w:val="2"/>
          <w:lang w:eastAsia="zh-CN"/>
        </w:rPr>
        <w:t xml:space="preserve"> possessed a more compact and long-range ordered π-π stacking structure. In conclusion, the asymmetric acceptor </w:t>
      </w:r>
      <w:r w:rsidRPr="006D6FC6">
        <w:rPr>
          <w:rFonts w:eastAsia="Times New Roman"/>
          <w:b/>
          <w:bCs/>
          <w:kern w:val="2"/>
          <w:lang w:eastAsia="zh-CN"/>
        </w:rPr>
        <w:t>TT-Ph-C6</w:t>
      </w:r>
      <w:r w:rsidRPr="006D6FC6">
        <w:rPr>
          <w:rFonts w:eastAsia="Times New Roman"/>
          <w:kern w:val="2"/>
          <w:lang w:eastAsia="zh-CN"/>
        </w:rPr>
        <w:t xml:space="preserve"> exhibits higher crystallinity and a more compact π-π stacking configuration, both of which are conducive to enhancing charge transport efficiency. </w:t>
      </w:r>
    </w:p>
    <w:p w14:paraId="136E3034" w14:textId="4DFA7183" w:rsidR="00D944A4" w:rsidRPr="006D6FC6" w:rsidRDefault="00D25A20" w:rsidP="006D6FC6">
      <w:pPr>
        <w:spacing w:beforeLines="100" w:before="240" w:after="100" w:line="360" w:lineRule="auto"/>
        <w:rPr>
          <w:rFonts w:eastAsia="Times New Roman"/>
          <w:kern w:val="2"/>
          <w:lang w:eastAsia="zh-CN"/>
        </w:rPr>
      </w:pPr>
      <w:r w:rsidRPr="006D6FC6">
        <w:rPr>
          <w:rFonts w:eastAsia="Times New Roman"/>
          <w:kern w:val="2"/>
          <w:lang w:eastAsia="zh-CN"/>
        </w:rPr>
        <w:t xml:space="preserve">The morphology of the thin film plays a pivotal role in determining the performance of the device. Utilizing transmission electron microscopy (TEM) and atomic force microscopy (AFM), we conducted an investigation into the microstructure of the active layer. As depicted in </w:t>
      </w:r>
      <w:r w:rsidR="00D01A05">
        <w:rPr>
          <w:rFonts w:eastAsia="Times New Roman"/>
          <w:b/>
          <w:bCs/>
          <w:kern w:val="2"/>
          <w:lang w:eastAsia="zh-CN"/>
        </w:rPr>
        <w:t>Fig.</w:t>
      </w:r>
      <w:r w:rsidRPr="006D6FC6">
        <w:rPr>
          <w:rFonts w:eastAsia="Times New Roman"/>
          <w:b/>
          <w:bCs/>
          <w:kern w:val="2"/>
          <w:lang w:eastAsia="zh-CN"/>
        </w:rPr>
        <w:t xml:space="preserve"> S7</w:t>
      </w:r>
      <w:r w:rsidRPr="006D6FC6">
        <w:rPr>
          <w:rFonts w:eastAsia="Times New Roman"/>
          <w:kern w:val="2"/>
          <w:lang w:eastAsia="zh-CN"/>
        </w:rPr>
        <w:t>, both methodologies uncovered a uniform phase distribution within the active layer, accompanied by a prominent bicontinuous interpenetrating network structure. The root-mean-square (RMS) roughness values for the D18:</w:t>
      </w:r>
      <w:r w:rsidRPr="006D6FC6">
        <w:rPr>
          <w:rFonts w:eastAsia="Times New Roman"/>
          <w:b/>
          <w:bCs/>
          <w:kern w:val="2"/>
          <w:lang w:eastAsia="zh-CN"/>
        </w:rPr>
        <w:t>TT-Ph-C6</w:t>
      </w:r>
      <w:r w:rsidRPr="006D6FC6">
        <w:rPr>
          <w:rFonts w:eastAsia="Times New Roman"/>
          <w:kern w:val="2"/>
          <w:lang w:eastAsia="zh-CN"/>
        </w:rPr>
        <w:t xml:space="preserve"> and D18:2BTh-2F-based blend films were found to be quite comparable, measuring 0.85 nm and 1.05 nm, respectively. Notably, the D18:</w:t>
      </w:r>
      <w:r w:rsidRPr="006D6FC6">
        <w:rPr>
          <w:rFonts w:eastAsia="Times New Roman"/>
          <w:b/>
          <w:bCs/>
          <w:kern w:val="2"/>
          <w:lang w:eastAsia="zh-CN"/>
        </w:rPr>
        <w:t>TT-Ph-C6</w:t>
      </w:r>
      <w:r w:rsidRPr="006D6FC6">
        <w:rPr>
          <w:rFonts w:eastAsia="Times New Roman"/>
          <w:kern w:val="2"/>
          <w:lang w:eastAsia="zh-CN"/>
        </w:rPr>
        <w:t xml:space="preserve"> thin film exhibited a tendency to form slightly larger phase separations compared to the D18:2BTh-2F thin film, an observation primarily attributable to the stronger crystallinity of the asymmetric acceptor </w:t>
      </w:r>
      <w:r w:rsidRPr="006D6FC6">
        <w:rPr>
          <w:rFonts w:eastAsia="Times New Roman"/>
          <w:b/>
          <w:bCs/>
          <w:kern w:val="2"/>
          <w:lang w:eastAsia="zh-CN"/>
        </w:rPr>
        <w:t>TT-Ph-C6</w:t>
      </w:r>
      <w:r w:rsidRPr="006D6FC6">
        <w:rPr>
          <w:rFonts w:eastAsia="Times New Roman"/>
          <w:kern w:val="2"/>
          <w:lang w:eastAsia="zh-CN"/>
        </w:rPr>
        <w:t>. It is worth mentioning that an appropriate degree of phase separation is conducive to exciton dissociation and transport.</w:t>
      </w:r>
    </w:p>
    <w:p w14:paraId="6796196C" w14:textId="530D28F0" w:rsidR="00D944A4" w:rsidRPr="006D6FC6" w:rsidRDefault="00C57BCB" w:rsidP="006D6FC6">
      <w:pPr>
        <w:spacing w:beforeLines="100" w:before="240" w:afterLines="100" w:after="240" w:line="360" w:lineRule="auto"/>
        <w:rPr>
          <w:b/>
          <w:bCs/>
          <w:lang w:val="en-US"/>
        </w:rPr>
      </w:pPr>
      <w:r w:rsidRPr="006D6FC6">
        <w:rPr>
          <w:rFonts w:eastAsiaTheme="minorEastAsia" w:hint="eastAsia"/>
          <w:b/>
          <w:bCs/>
          <w:lang w:val="en-US" w:eastAsia="zh-CN"/>
        </w:rPr>
        <w:t>3</w:t>
      </w:r>
      <w:r w:rsidRPr="006D6FC6">
        <w:rPr>
          <w:rFonts w:eastAsiaTheme="minorEastAsia"/>
          <w:b/>
          <w:bCs/>
          <w:lang w:val="en-US" w:eastAsia="zh-CN"/>
        </w:rPr>
        <w:t xml:space="preserve">.6 </w:t>
      </w:r>
      <w:r w:rsidRPr="006D6FC6">
        <w:rPr>
          <w:b/>
          <w:bCs/>
          <w:lang w:val="en-US"/>
        </w:rPr>
        <w:t xml:space="preserve">Photovoltaic Properties of </w:t>
      </w:r>
      <w:r w:rsidR="00D01A05" w:rsidRPr="006D6FC6">
        <w:rPr>
          <w:b/>
          <w:bCs/>
          <w:lang w:val="en-US"/>
        </w:rPr>
        <w:t>T</w:t>
      </w:r>
      <w:r w:rsidRPr="006D6FC6">
        <w:rPr>
          <w:b/>
          <w:bCs/>
          <w:lang w:val="en-US"/>
        </w:rPr>
        <w:t xml:space="preserve">hick </w:t>
      </w:r>
      <w:r w:rsidR="00D01A05" w:rsidRPr="006D6FC6">
        <w:rPr>
          <w:b/>
          <w:bCs/>
          <w:lang w:val="en-US"/>
        </w:rPr>
        <w:t>F</w:t>
      </w:r>
      <w:r w:rsidRPr="006D6FC6">
        <w:rPr>
          <w:b/>
          <w:bCs/>
          <w:lang w:val="en-US"/>
        </w:rPr>
        <w:t xml:space="preserve">ilm </w:t>
      </w:r>
      <w:r w:rsidR="00D01A05" w:rsidRPr="006D6FC6">
        <w:rPr>
          <w:b/>
          <w:bCs/>
          <w:lang w:val="en-US"/>
        </w:rPr>
        <w:t>D</w:t>
      </w:r>
      <w:r w:rsidRPr="006D6FC6">
        <w:rPr>
          <w:b/>
          <w:bCs/>
          <w:lang w:val="en-US"/>
        </w:rPr>
        <w:t>evices</w:t>
      </w:r>
    </w:p>
    <w:p w14:paraId="122EFA55" w14:textId="1BE19D09" w:rsidR="00D944A4" w:rsidRPr="006D6FC6" w:rsidRDefault="00C57BCB" w:rsidP="006D6FC6">
      <w:pPr>
        <w:widowControl w:val="0"/>
        <w:spacing w:beforeLines="100" w:before="240" w:after="100" w:line="360" w:lineRule="auto"/>
        <w:rPr>
          <w:rFonts w:eastAsia="Times New Roman"/>
          <w:kern w:val="2"/>
          <w:lang w:eastAsia="zh-CN"/>
        </w:rPr>
      </w:pPr>
      <w:r w:rsidRPr="006D6FC6">
        <w:rPr>
          <w:rFonts w:eastAsia="Times New Roman"/>
          <w:kern w:val="2"/>
          <w:lang w:eastAsia="zh-CN"/>
        </w:rPr>
        <w:t xml:space="preserve">To further excavate the advantages of the asymmetric acceptor </w:t>
      </w:r>
      <w:r w:rsidRPr="006D6FC6">
        <w:rPr>
          <w:rFonts w:eastAsia="Times New Roman"/>
          <w:b/>
          <w:bCs/>
          <w:kern w:val="2"/>
          <w:lang w:eastAsia="zh-CN"/>
        </w:rPr>
        <w:t>TT-Ph-C6</w:t>
      </w:r>
      <w:r w:rsidRPr="006D6FC6">
        <w:rPr>
          <w:rFonts w:eastAsia="Times New Roman"/>
          <w:kern w:val="2"/>
          <w:lang w:eastAsia="zh-CN"/>
        </w:rPr>
        <w:t xml:space="preserve">, we fabricated thick-film OSCs, and the relevant photovoltaic parameters are listed in </w:t>
      </w:r>
      <w:r w:rsidRPr="006D6FC6">
        <w:rPr>
          <w:rFonts w:eastAsia="Times New Roman"/>
          <w:b/>
          <w:bCs/>
          <w:kern w:val="2"/>
          <w:lang w:eastAsia="zh-CN"/>
        </w:rPr>
        <w:t>Table 3</w:t>
      </w:r>
      <w:r w:rsidRPr="006D6FC6">
        <w:rPr>
          <w:rFonts w:eastAsia="Times New Roman"/>
          <w:kern w:val="2"/>
          <w:lang w:eastAsia="zh-CN"/>
        </w:rPr>
        <w:t xml:space="preserve">. As </w:t>
      </w:r>
      <w:r w:rsidR="00D01A05">
        <w:rPr>
          <w:rFonts w:eastAsia="Times New Roman"/>
          <w:b/>
          <w:bCs/>
          <w:kern w:val="2"/>
          <w:lang w:eastAsia="zh-CN"/>
        </w:rPr>
        <w:t>Fig.</w:t>
      </w:r>
      <w:r w:rsidRPr="006D6FC6">
        <w:rPr>
          <w:rFonts w:eastAsia="Times New Roman"/>
          <w:b/>
          <w:bCs/>
          <w:kern w:val="2"/>
          <w:lang w:eastAsia="zh-CN"/>
        </w:rPr>
        <w:t xml:space="preserve"> S8</w:t>
      </w:r>
      <w:r w:rsidRPr="006D6FC6">
        <w:rPr>
          <w:rFonts w:eastAsia="Times New Roman"/>
          <w:kern w:val="2"/>
          <w:lang w:eastAsia="zh-CN"/>
        </w:rPr>
        <w:t xml:space="preserve"> shows, the </w:t>
      </w:r>
      <w:r w:rsidRPr="006D6FC6">
        <w:rPr>
          <w:rFonts w:eastAsia="Times New Roman"/>
          <w:bCs/>
          <w:i/>
          <w:iCs/>
          <w:kern w:val="2"/>
          <w:lang w:eastAsia="zh-CN"/>
        </w:rPr>
        <w:t>V</w:t>
      </w:r>
      <w:r w:rsidRPr="006D6FC6">
        <w:rPr>
          <w:rFonts w:eastAsia="Times New Roman"/>
          <w:bCs/>
          <w:kern w:val="2"/>
          <w:vertAlign w:val="subscript"/>
          <w:lang w:eastAsia="zh-CN"/>
        </w:rPr>
        <w:t>oc</w:t>
      </w:r>
      <w:r w:rsidRPr="006D6FC6">
        <w:rPr>
          <w:rFonts w:eastAsia="Times New Roman"/>
          <w:kern w:val="2"/>
          <w:lang w:eastAsia="zh-CN"/>
        </w:rPr>
        <w:t xml:space="preserve"> does not change significantly with the thickness of the active layer. However, the </w:t>
      </w:r>
      <w:bookmarkStart w:id="7" w:name="_Hlk195865106"/>
      <w:r w:rsidRPr="006D6FC6">
        <w:rPr>
          <w:rFonts w:eastAsia="Times New Roman"/>
          <w:i/>
          <w:iCs/>
          <w:kern w:val="2"/>
          <w:lang w:eastAsia="zh-CN"/>
        </w:rPr>
        <w:t>J</w:t>
      </w:r>
      <w:r w:rsidRPr="006D6FC6">
        <w:rPr>
          <w:rFonts w:eastAsia="Times New Roman"/>
          <w:kern w:val="2"/>
          <w:vertAlign w:val="subscript"/>
          <w:lang w:eastAsia="zh-CN"/>
        </w:rPr>
        <w:t>sc</w:t>
      </w:r>
      <w:bookmarkEnd w:id="7"/>
      <w:r w:rsidRPr="006D6FC6">
        <w:rPr>
          <w:rFonts w:eastAsia="Times New Roman"/>
          <w:kern w:val="2"/>
          <w:lang w:eastAsia="zh-CN"/>
        </w:rPr>
        <w:t xml:space="preserve"> does vary with film thickness. Specifically, as the active layer thickness increases, </w:t>
      </w:r>
      <w:r w:rsidRPr="006D6FC6">
        <w:rPr>
          <w:rFonts w:eastAsia="Times New Roman"/>
          <w:b/>
          <w:bCs/>
          <w:kern w:val="2"/>
          <w:lang w:eastAsia="zh-CN"/>
        </w:rPr>
        <w:t>TT-Ph-C6</w:t>
      </w:r>
      <w:r w:rsidRPr="006D6FC6">
        <w:rPr>
          <w:rFonts w:eastAsia="Times New Roman"/>
          <w:kern w:val="2"/>
          <w:lang w:eastAsia="zh-CN"/>
        </w:rPr>
        <w:t>-based devices display a gradual rise in</w:t>
      </w:r>
      <w:r w:rsidRPr="006D6FC6">
        <w:rPr>
          <w:rFonts w:eastAsia="Times New Roman"/>
          <w:i/>
          <w:iCs/>
          <w:kern w:val="2"/>
          <w:lang w:eastAsia="zh-CN"/>
        </w:rPr>
        <w:t xml:space="preserve"> J</w:t>
      </w:r>
      <w:r w:rsidRPr="006D6FC6">
        <w:rPr>
          <w:rFonts w:eastAsia="Times New Roman"/>
          <w:kern w:val="2"/>
          <w:vertAlign w:val="subscript"/>
          <w:lang w:eastAsia="zh-CN"/>
        </w:rPr>
        <w:t>sc</w:t>
      </w:r>
      <w:r w:rsidRPr="006D6FC6">
        <w:rPr>
          <w:rFonts w:eastAsia="Times New Roman"/>
          <w:kern w:val="2"/>
          <w:lang w:eastAsia="zh-CN"/>
        </w:rPr>
        <w:t xml:space="preserve"> due to improved light absorption. Moreover, the FF values for devices using these acceptors decrease notably as the thickness increases. </w:t>
      </w:r>
    </w:p>
    <w:p w14:paraId="7B7EB480" w14:textId="2E073C02" w:rsidR="00D944A4" w:rsidRPr="006D6FC6" w:rsidRDefault="00C57BCB" w:rsidP="006D6FC6">
      <w:pPr>
        <w:widowControl w:val="0"/>
        <w:spacing w:beforeLines="100" w:before="240" w:after="100" w:line="360" w:lineRule="auto"/>
        <w:rPr>
          <w:rFonts w:eastAsiaTheme="minorEastAsia"/>
          <w:kern w:val="2"/>
          <w:lang w:eastAsia="zh-CN"/>
        </w:rPr>
      </w:pPr>
      <w:r w:rsidRPr="006D6FC6">
        <w:rPr>
          <w:rFonts w:eastAsia="Times New Roman"/>
          <w:kern w:val="2"/>
          <w:lang w:eastAsia="zh-CN"/>
        </w:rPr>
        <w:t xml:space="preserve">As illustrated in </w:t>
      </w:r>
      <w:r w:rsidR="00D01A05">
        <w:rPr>
          <w:rFonts w:eastAsia="Times New Roman"/>
          <w:kern w:val="2"/>
          <w:lang w:eastAsia="zh-CN"/>
        </w:rPr>
        <w:t>Fig.</w:t>
      </w:r>
      <w:r w:rsidRPr="006D6FC6">
        <w:rPr>
          <w:rFonts w:eastAsia="Times New Roman"/>
          <w:kern w:val="2"/>
          <w:lang w:eastAsia="zh-CN"/>
        </w:rPr>
        <w:t xml:space="preserve"> S8, the EQE spectra of the thick-film devices reveal that the </w:t>
      </w:r>
      <w:r w:rsidRPr="006D6FC6">
        <w:rPr>
          <w:rFonts w:eastAsia="Times New Roman"/>
          <w:b/>
          <w:bCs/>
          <w:kern w:val="2"/>
          <w:lang w:eastAsia="zh-CN"/>
        </w:rPr>
        <w:t>TT-Ph-C6</w:t>
      </w:r>
      <w:r w:rsidRPr="006D6FC6">
        <w:rPr>
          <w:rFonts w:eastAsia="Times New Roman"/>
          <w:kern w:val="2"/>
          <w:lang w:eastAsia="zh-CN"/>
        </w:rPr>
        <w:t xml:space="preserve">-based device outperforms the 2BTh-2F-based one, indicating higher efficiency in light utilization and charge generation for </w:t>
      </w:r>
      <w:r w:rsidRPr="006D6FC6">
        <w:rPr>
          <w:rFonts w:eastAsia="Times New Roman"/>
          <w:b/>
          <w:bCs/>
          <w:kern w:val="2"/>
          <w:lang w:eastAsia="zh-CN"/>
        </w:rPr>
        <w:t>TT-Ph-C6</w:t>
      </w:r>
      <w:r w:rsidRPr="006D6FC6">
        <w:rPr>
          <w:rFonts w:eastAsia="Times New Roman"/>
          <w:kern w:val="2"/>
          <w:lang w:eastAsia="zh-CN"/>
        </w:rPr>
        <w:t xml:space="preserve">. This underscores the significant advantage of </w:t>
      </w:r>
      <w:r w:rsidRPr="006D6FC6">
        <w:rPr>
          <w:rFonts w:eastAsia="Times New Roman"/>
          <w:b/>
          <w:bCs/>
          <w:kern w:val="2"/>
          <w:lang w:eastAsia="zh-CN"/>
        </w:rPr>
        <w:t>TT-Ph-C6</w:t>
      </w:r>
      <w:r w:rsidRPr="006D6FC6">
        <w:rPr>
          <w:rFonts w:eastAsia="Times New Roman"/>
          <w:kern w:val="2"/>
          <w:lang w:eastAsia="zh-CN"/>
        </w:rPr>
        <w:t xml:space="preserve"> in maintaining efficient photocurrent generation at greater thicknesses, a crucial factor for enhancing the performance of OSCs. Notably, the asymmetric acceptor </w:t>
      </w:r>
      <w:r w:rsidRPr="006D6FC6">
        <w:rPr>
          <w:rFonts w:eastAsia="Times New Roman"/>
          <w:b/>
          <w:bCs/>
          <w:kern w:val="2"/>
          <w:lang w:eastAsia="zh-CN"/>
        </w:rPr>
        <w:t>TT-Ph-C6</w:t>
      </w:r>
      <w:r w:rsidRPr="006D6FC6">
        <w:rPr>
          <w:rFonts w:eastAsia="Times New Roman"/>
          <w:kern w:val="2"/>
          <w:lang w:eastAsia="zh-CN"/>
        </w:rPr>
        <w:t xml:space="preserve"> exhibits a substantially larger exciton diffusion length compared to 2BTh-2F, potentially offering better active layer thickness tolerance and superior photovoltaic performance in thicker active layers. Subsequently, we employed the SCLC method to measure the </w:t>
      </w:r>
      <w:r w:rsidRPr="006D6FC6">
        <w:rPr>
          <w:rFonts w:eastAsia="Times New Roman"/>
          <w:i/>
          <w:iCs/>
          <w:kern w:val="2"/>
          <w:lang w:eastAsia="zh-CN"/>
        </w:rPr>
        <w:t>μ</w:t>
      </w:r>
      <w:r w:rsidRPr="006D6FC6">
        <w:rPr>
          <w:rFonts w:eastAsia="Times New Roman"/>
          <w:kern w:val="2"/>
          <w:vertAlign w:val="subscript"/>
          <w:lang w:eastAsia="zh-CN"/>
        </w:rPr>
        <w:t>h</w:t>
      </w:r>
      <w:r w:rsidRPr="006D6FC6">
        <w:rPr>
          <w:rFonts w:eastAsia="Times New Roman"/>
          <w:kern w:val="2"/>
          <w:lang w:eastAsia="zh-CN"/>
        </w:rPr>
        <w:t xml:space="preserve"> and </w:t>
      </w:r>
      <w:r w:rsidRPr="006D6FC6">
        <w:rPr>
          <w:rFonts w:eastAsia="Times New Roman"/>
          <w:i/>
          <w:iCs/>
          <w:kern w:val="2"/>
          <w:lang w:eastAsia="zh-CN"/>
        </w:rPr>
        <w:t>μ</w:t>
      </w:r>
      <w:r w:rsidRPr="006D6FC6">
        <w:rPr>
          <w:rFonts w:eastAsia="Times New Roman"/>
          <w:kern w:val="2"/>
          <w:vertAlign w:val="subscript"/>
          <w:lang w:eastAsia="zh-CN"/>
        </w:rPr>
        <w:t>e</w:t>
      </w:r>
      <w:r w:rsidRPr="006D6FC6">
        <w:rPr>
          <w:rFonts w:eastAsia="Times New Roman"/>
          <w:kern w:val="2"/>
          <w:lang w:eastAsia="zh-CN"/>
        </w:rPr>
        <w:t xml:space="preserve"> of the thick film devices. The results, presented in </w:t>
      </w:r>
      <w:r w:rsidR="00D01A05">
        <w:rPr>
          <w:rFonts w:eastAsia="Times New Roman"/>
          <w:kern w:val="2"/>
          <w:lang w:eastAsia="zh-CN"/>
        </w:rPr>
        <w:t>Fig.</w:t>
      </w:r>
      <w:r w:rsidRPr="006D6FC6">
        <w:rPr>
          <w:rFonts w:eastAsia="Times New Roman"/>
          <w:kern w:val="2"/>
          <w:lang w:eastAsia="zh-CN"/>
        </w:rPr>
        <w:t xml:space="preserve"> S9 and summarized in </w:t>
      </w:r>
      <w:r w:rsidRPr="006D6FC6">
        <w:rPr>
          <w:rFonts w:eastAsia="Times New Roman"/>
          <w:b/>
          <w:bCs/>
          <w:kern w:val="2"/>
          <w:lang w:eastAsia="zh-CN"/>
        </w:rPr>
        <w:t>Table S4</w:t>
      </w:r>
      <w:r w:rsidRPr="006D6FC6">
        <w:rPr>
          <w:rFonts w:eastAsia="Times New Roman"/>
          <w:kern w:val="2"/>
          <w:lang w:eastAsia="zh-CN"/>
        </w:rPr>
        <w:t xml:space="preserve">, indicate that for a 200 nm thick film, the </w:t>
      </w:r>
      <w:r w:rsidRPr="006D6FC6">
        <w:rPr>
          <w:rFonts w:eastAsia="Times New Roman"/>
          <w:i/>
          <w:iCs/>
          <w:kern w:val="2"/>
          <w:lang w:eastAsia="zh-CN"/>
        </w:rPr>
        <w:t>μ</w:t>
      </w:r>
      <w:r w:rsidRPr="006D6FC6">
        <w:rPr>
          <w:rFonts w:eastAsia="Times New Roman"/>
          <w:kern w:val="2"/>
          <w:vertAlign w:val="subscript"/>
          <w:lang w:eastAsia="zh-CN"/>
        </w:rPr>
        <w:t>h</w:t>
      </w:r>
      <w:r w:rsidRPr="006D6FC6">
        <w:rPr>
          <w:rFonts w:eastAsia="Times New Roman"/>
          <w:kern w:val="2"/>
          <w:lang w:eastAsia="zh-CN"/>
        </w:rPr>
        <w:t>/</w:t>
      </w:r>
      <w:r w:rsidRPr="006D6FC6">
        <w:rPr>
          <w:rFonts w:eastAsia="Times New Roman"/>
          <w:i/>
          <w:iCs/>
          <w:kern w:val="2"/>
          <w:lang w:eastAsia="zh-CN"/>
        </w:rPr>
        <w:t>μ</w:t>
      </w:r>
      <w:r w:rsidRPr="006D6FC6">
        <w:rPr>
          <w:rFonts w:eastAsia="Times New Roman"/>
          <w:kern w:val="2"/>
          <w:vertAlign w:val="subscript"/>
          <w:lang w:eastAsia="zh-CN"/>
        </w:rPr>
        <w:t>e</w:t>
      </w:r>
      <w:r w:rsidRPr="006D6FC6">
        <w:rPr>
          <w:rFonts w:eastAsia="Times New Roman"/>
          <w:kern w:val="2"/>
          <w:lang w:eastAsia="zh-CN"/>
        </w:rPr>
        <w:t xml:space="preserve"> values for the D18:</w:t>
      </w:r>
      <w:r w:rsidRPr="006D6FC6">
        <w:rPr>
          <w:rFonts w:eastAsia="Times New Roman"/>
          <w:b/>
          <w:bCs/>
          <w:kern w:val="2"/>
          <w:lang w:eastAsia="zh-CN"/>
        </w:rPr>
        <w:t>TT-Ph-C6</w:t>
      </w:r>
      <w:r w:rsidRPr="006D6FC6">
        <w:rPr>
          <w:rFonts w:eastAsia="Times New Roman"/>
          <w:kern w:val="2"/>
          <w:lang w:eastAsia="zh-CN"/>
        </w:rPr>
        <w:t xml:space="preserve"> and D18:2BTh-2F blend films are 14.13/14.36 (×10</w:t>
      </w:r>
      <w:r w:rsidRPr="006D6FC6">
        <w:rPr>
          <w:rFonts w:eastAsia="Times New Roman"/>
          <w:kern w:val="2"/>
          <w:vertAlign w:val="superscript"/>
          <w:lang w:eastAsia="zh-CN"/>
        </w:rPr>
        <w:t>-4</w:t>
      </w:r>
      <w:r w:rsidRPr="006D6FC6">
        <w:rPr>
          <w:rFonts w:eastAsia="Times New Roman"/>
          <w:kern w:val="2"/>
          <w:lang w:eastAsia="zh-CN"/>
        </w:rPr>
        <w:t xml:space="preserve"> cm</w:t>
      </w:r>
      <w:r w:rsidRPr="006D6FC6">
        <w:rPr>
          <w:rFonts w:eastAsia="Times New Roman"/>
          <w:kern w:val="2"/>
          <w:vertAlign w:val="superscript"/>
          <w:lang w:eastAsia="zh-CN"/>
        </w:rPr>
        <w:t>2</w:t>
      </w:r>
      <w:r w:rsidRPr="006D6FC6">
        <w:rPr>
          <w:rFonts w:eastAsia="Times New Roman"/>
          <w:kern w:val="2"/>
          <w:lang w:eastAsia="zh-CN"/>
        </w:rPr>
        <w:t xml:space="preserve"> V</w:t>
      </w:r>
      <w:r w:rsidRPr="006D6FC6">
        <w:rPr>
          <w:rFonts w:eastAsia="Times New Roman"/>
          <w:kern w:val="2"/>
          <w:vertAlign w:val="superscript"/>
          <w:lang w:eastAsia="zh-CN"/>
        </w:rPr>
        <w:t>-1</w:t>
      </w:r>
      <w:r w:rsidRPr="006D6FC6">
        <w:rPr>
          <w:rFonts w:eastAsia="Times New Roman"/>
          <w:kern w:val="2"/>
          <w:lang w:eastAsia="zh-CN"/>
        </w:rPr>
        <w:t xml:space="preserve"> s</w:t>
      </w:r>
      <w:r w:rsidRPr="006D6FC6">
        <w:rPr>
          <w:rFonts w:eastAsia="Times New Roman"/>
          <w:kern w:val="2"/>
          <w:vertAlign w:val="superscript"/>
          <w:lang w:eastAsia="zh-CN"/>
        </w:rPr>
        <w:t>-1</w:t>
      </w:r>
      <w:r w:rsidRPr="006D6FC6">
        <w:rPr>
          <w:rFonts w:eastAsia="Times New Roman"/>
          <w:kern w:val="2"/>
          <w:lang w:eastAsia="zh-CN"/>
        </w:rPr>
        <w:t>) and 9.68/11.19 (×10</w:t>
      </w:r>
      <w:r w:rsidRPr="006D6FC6">
        <w:rPr>
          <w:rFonts w:eastAsia="Times New Roman"/>
          <w:kern w:val="2"/>
          <w:vertAlign w:val="superscript"/>
          <w:lang w:eastAsia="zh-CN"/>
        </w:rPr>
        <w:t>-4</w:t>
      </w:r>
      <w:r w:rsidRPr="006D6FC6">
        <w:rPr>
          <w:rFonts w:eastAsia="Times New Roman"/>
          <w:kern w:val="2"/>
          <w:lang w:eastAsia="zh-CN"/>
        </w:rPr>
        <w:t xml:space="preserve"> cm</w:t>
      </w:r>
      <w:r w:rsidRPr="006D6FC6">
        <w:rPr>
          <w:rFonts w:eastAsia="Times New Roman"/>
          <w:kern w:val="2"/>
          <w:vertAlign w:val="superscript"/>
          <w:lang w:eastAsia="zh-CN"/>
        </w:rPr>
        <w:t>2</w:t>
      </w:r>
      <w:r w:rsidRPr="006D6FC6">
        <w:rPr>
          <w:rFonts w:eastAsia="Times New Roman"/>
          <w:kern w:val="2"/>
          <w:lang w:eastAsia="zh-CN"/>
        </w:rPr>
        <w:t xml:space="preserve"> V</w:t>
      </w:r>
      <w:r w:rsidRPr="006D6FC6">
        <w:rPr>
          <w:rFonts w:eastAsia="Times New Roman"/>
          <w:kern w:val="2"/>
          <w:vertAlign w:val="superscript"/>
          <w:lang w:eastAsia="zh-CN"/>
        </w:rPr>
        <w:t>-1</w:t>
      </w:r>
      <w:r w:rsidRPr="006D6FC6">
        <w:rPr>
          <w:rFonts w:eastAsia="Times New Roman"/>
          <w:kern w:val="2"/>
          <w:lang w:eastAsia="zh-CN"/>
        </w:rPr>
        <w:t xml:space="preserve"> s</w:t>
      </w:r>
      <w:r w:rsidRPr="006D6FC6">
        <w:rPr>
          <w:rFonts w:eastAsia="Times New Roman"/>
          <w:kern w:val="2"/>
          <w:vertAlign w:val="superscript"/>
          <w:lang w:eastAsia="zh-CN"/>
        </w:rPr>
        <w:t>-1</w:t>
      </w:r>
      <w:r w:rsidRPr="006D6FC6">
        <w:rPr>
          <w:rFonts w:eastAsia="Times New Roman"/>
          <w:kern w:val="2"/>
          <w:lang w:eastAsia="zh-CN"/>
        </w:rPr>
        <w:t xml:space="preserve">), respectively. When the film thickness is increased to 300 nm, the </w:t>
      </w:r>
      <w:r w:rsidRPr="006D6FC6">
        <w:rPr>
          <w:rFonts w:eastAsia="Times New Roman"/>
          <w:i/>
          <w:iCs/>
          <w:kern w:val="2"/>
          <w:lang w:eastAsia="zh-CN"/>
        </w:rPr>
        <w:t>μ</w:t>
      </w:r>
      <w:r w:rsidRPr="006D6FC6">
        <w:rPr>
          <w:rFonts w:eastAsia="Times New Roman"/>
          <w:kern w:val="2"/>
          <w:vertAlign w:val="subscript"/>
          <w:lang w:eastAsia="zh-CN"/>
        </w:rPr>
        <w:t>h</w:t>
      </w:r>
      <w:r w:rsidRPr="006D6FC6">
        <w:rPr>
          <w:rFonts w:eastAsia="Times New Roman"/>
          <w:kern w:val="2"/>
          <w:lang w:eastAsia="zh-CN"/>
        </w:rPr>
        <w:t xml:space="preserve"> and </w:t>
      </w:r>
      <w:r w:rsidRPr="006D6FC6">
        <w:rPr>
          <w:rFonts w:eastAsia="Times New Roman"/>
          <w:i/>
          <w:iCs/>
          <w:kern w:val="2"/>
          <w:lang w:eastAsia="zh-CN"/>
        </w:rPr>
        <w:t>μ</w:t>
      </w:r>
      <w:r w:rsidRPr="006D6FC6">
        <w:rPr>
          <w:rFonts w:eastAsia="Times New Roman"/>
          <w:kern w:val="2"/>
          <w:vertAlign w:val="subscript"/>
          <w:lang w:eastAsia="zh-CN"/>
        </w:rPr>
        <w:t>e</w:t>
      </w:r>
      <w:r w:rsidRPr="006D6FC6">
        <w:rPr>
          <w:rFonts w:eastAsia="Times New Roman"/>
          <w:kern w:val="2"/>
          <w:lang w:eastAsia="zh-CN"/>
        </w:rPr>
        <w:t xml:space="preserve"> values for the D18:</w:t>
      </w:r>
      <w:r w:rsidRPr="006D6FC6">
        <w:rPr>
          <w:rFonts w:eastAsia="Times New Roman"/>
          <w:b/>
          <w:bCs/>
          <w:kern w:val="2"/>
          <w:lang w:eastAsia="zh-CN"/>
        </w:rPr>
        <w:t>TT-Ph-C6</w:t>
      </w:r>
      <w:r w:rsidRPr="006D6FC6">
        <w:rPr>
          <w:rFonts w:eastAsia="Times New Roman"/>
          <w:kern w:val="2"/>
          <w:lang w:eastAsia="zh-CN"/>
        </w:rPr>
        <w:t xml:space="preserve"> blend film rise to 29.85 and 43.83 (×10</w:t>
      </w:r>
      <w:r w:rsidRPr="006D6FC6">
        <w:rPr>
          <w:rFonts w:eastAsia="Times New Roman"/>
          <w:kern w:val="2"/>
          <w:vertAlign w:val="superscript"/>
          <w:lang w:eastAsia="zh-CN"/>
        </w:rPr>
        <w:t>-4</w:t>
      </w:r>
      <w:r w:rsidRPr="006D6FC6">
        <w:rPr>
          <w:rFonts w:eastAsia="Times New Roman"/>
          <w:kern w:val="2"/>
          <w:lang w:eastAsia="zh-CN"/>
        </w:rPr>
        <w:t xml:space="preserve"> cm</w:t>
      </w:r>
      <w:r w:rsidRPr="006D6FC6">
        <w:rPr>
          <w:rFonts w:eastAsia="Times New Roman"/>
          <w:kern w:val="2"/>
          <w:vertAlign w:val="superscript"/>
          <w:lang w:eastAsia="zh-CN"/>
        </w:rPr>
        <w:t>2</w:t>
      </w:r>
      <w:r w:rsidRPr="006D6FC6">
        <w:rPr>
          <w:rFonts w:eastAsia="Times New Roman"/>
          <w:kern w:val="2"/>
          <w:lang w:eastAsia="zh-CN"/>
        </w:rPr>
        <w:t xml:space="preserve"> V</w:t>
      </w:r>
      <w:r w:rsidRPr="006D6FC6">
        <w:rPr>
          <w:rFonts w:eastAsia="Times New Roman"/>
          <w:kern w:val="2"/>
          <w:vertAlign w:val="superscript"/>
          <w:lang w:eastAsia="zh-CN"/>
        </w:rPr>
        <w:t>-1</w:t>
      </w:r>
      <w:r w:rsidRPr="006D6FC6">
        <w:rPr>
          <w:rFonts w:eastAsia="Times New Roman"/>
          <w:kern w:val="2"/>
          <w:lang w:eastAsia="zh-CN"/>
        </w:rPr>
        <w:t xml:space="preserve"> s</w:t>
      </w:r>
      <w:r w:rsidRPr="006D6FC6">
        <w:rPr>
          <w:rFonts w:eastAsia="Times New Roman"/>
          <w:kern w:val="2"/>
          <w:vertAlign w:val="superscript"/>
          <w:lang w:eastAsia="zh-CN"/>
        </w:rPr>
        <w:t>-1</w:t>
      </w:r>
      <w:r w:rsidRPr="006D6FC6">
        <w:rPr>
          <w:rFonts w:eastAsia="Times New Roman"/>
          <w:kern w:val="2"/>
          <w:lang w:eastAsia="zh-CN"/>
        </w:rPr>
        <w:t>), respectively; while for the D18:2BTh-2F film, they are 19.87 and 32.13 (×10</w:t>
      </w:r>
      <w:r w:rsidRPr="006D6FC6">
        <w:rPr>
          <w:rFonts w:eastAsia="Times New Roman"/>
          <w:kern w:val="2"/>
          <w:vertAlign w:val="superscript"/>
          <w:lang w:eastAsia="zh-CN"/>
        </w:rPr>
        <w:t>-4</w:t>
      </w:r>
      <w:r w:rsidRPr="006D6FC6">
        <w:rPr>
          <w:rFonts w:eastAsia="Times New Roman"/>
          <w:kern w:val="2"/>
          <w:lang w:eastAsia="zh-CN"/>
        </w:rPr>
        <w:t xml:space="preserve"> cm</w:t>
      </w:r>
      <w:r w:rsidRPr="006D6FC6">
        <w:rPr>
          <w:rFonts w:eastAsia="Times New Roman"/>
          <w:kern w:val="2"/>
          <w:vertAlign w:val="superscript"/>
          <w:lang w:eastAsia="zh-CN"/>
        </w:rPr>
        <w:t>2</w:t>
      </w:r>
      <w:r w:rsidRPr="006D6FC6">
        <w:rPr>
          <w:rFonts w:eastAsia="Times New Roman"/>
          <w:kern w:val="2"/>
          <w:lang w:eastAsia="zh-CN"/>
        </w:rPr>
        <w:t xml:space="preserve"> V</w:t>
      </w:r>
      <w:r w:rsidRPr="006D6FC6">
        <w:rPr>
          <w:rFonts w:eastAsia="Times New Roman"/>
          <w:kern w:val="2"/>
          <w:vertAlign w:val="superscript"/>
          <w:lang w:eastAsia="zh-CN"/>
        </w:rPr>
        <w:t>-1</w:t>
      </w:r>
      <w:r w:rsidRPr="006D6FC6">
        <w:rPr>
          <w:rFonts w:eastAsia="Times New Roman"/>
          <w:kern w:val="2"/>
          <w:lang w:eastAsia="zh-CN"/>
        </w:rPr>
        <w:t xml:space="preserve"> s</w:t>
      </w:r>
      <w:r w:rsidRPr="006D6FC6">
        <w:rPr>
          <w:rFonts w:eastAsia="Times New Roman"/>
          <w:kern w:val="2"/>
          <w:vertAlign w:val="superscript"/>
          <w:lang w:eastAsia="zh-CN"/>
        </w:rPr>
        <w:t>-1</w:t>
      </w:r>
      <w:r w:rsidRPr="006D6FC6">
        <w:rPr>
          <w:rFonts w:eastAsia="Times New Roman"/>
          <w:kern w:val="2"/>
          <w:lang w:eastAsia="zh-CN"/>
        </w:rPr>
        <w:t>), respectively. In the context of thick films, devices based on the D18:</w:t>
      </w:r>
      <w:r w:rsidRPr="006D6FC6">
        <w:rPr>
          <w:rFonts w:eastAsia="Times New Roman"/>
          <w:b/>
          <w:bCs/>
          <w:kern w:val="2"/>
          <w:lang w:eastAsia="zh-CN"/>
        </w:rPr>
        <w:t>TT-Ph-C6</w:t>
      </w:r>
      <w:r w:rsidRPr="006D6FC6">
        <w:rPr>
          <w:rFonts w:eastAsia="Times New Roman"/>
          <w:kern w:val="2"/>
          <w:lang w:eastAsia="zh-CN"/>
        </w:rPr>
        <w:t xml:space="preserve"> blend demonstrate enhanced and more balanced hole and electron mobilities, which are vital for achieving high </w:t>
      </w:r>
      <w:r w:rsidRPr="006D6FC6">
        <w:rPr>
          <w:rFonts w:eastAsia="Times New Roman"/>
          <w:i/>
          <w:iCs/>
          <w:kern w:val="2"/>
          <w:lang w:eastAsia="zh-CN"/>
        </w:rPr>
        <w:t>J</w:t>
      </w:r>
      <w:r w:rsidRPr="006D6FC6">
        <w:rPr>
          <w:rFonts w:eastAsia="Times New Roman"/>
          <w:kern w:val="2"/>
          <w:vertAlign w:val="subscript"/>
          <w:lang w:eastAsia="zh-CN"/>
        </w:rPr>
        <w:t>sc</w:t>
      </w:r>
      <w:r w:rsidRPr="006D6FC6">
        <w:rPr>
          <w:rFonts w:eastAsia="Times New Roman"/>
          <w:kern w:val="2"/>
          <w:lang w:eastAsia="zh-CN"/>
        </w:rPr>
        <w:t xml:space="preserve"> and FF.</w:t>
      </w:r>
    </w:p>
    <w:p w14:paraId="07AA708F" w14:textId="77777777" w:rsidR="00D944A4" w:rsidRPr="006D6FC6" w:rsidRDefault="00A375A6" w:rsidP="006D6FC6">
      <w:pPr>
        <w:spacing w:beforeLines="100" w:before="240" w:afterLines="100" w:after="240" w:line="360" w:lineRule="auto"/>
        <w:ind w:left="357" w:hanging="357"/>
        <w:rPr>
          <w:sz w:val="28"/>
          <w:szCs w:val="28"/>
        </w:rPr>
      </w:pPr>
      <w:r w:rsidRPr="006D6FC6">
        <w:rPr>
          <w:rFonts w:eastAsia="Calibri"/>
          <w:b/>
          <w:sz w:val="28"/>
          <w:szCs w:val="28"/>
          <w:lang w:val="en-AU" w:eastAsia="en-US"/>
        </w:rPr>
        <w:t>4</w:t>
      </w:r>
      <w:r w:rsidRPr="006D6FC6">
        <w:rPr>
          <w:rFonts w:eastAsia="Calibri"/>
          <w:b/>
          <w:sz w:val="28"/>
          <w:szCs w:val="28"/>
          <w:lang w:val="en-AU" w:eastAsia="en-US"/>
        </w:rPr>
        <w:tab/>
      </w:r>
      <w:r w:rsidR="00ED05B9" w:rsidRPr="006D6FC6">
        <w:rPr>
          <w:b/>
          <w:sz w:val="28"/>
          <w:szCs w:val="28"/>
        </w:rPr>
        <w:t>Conclusions</w:t>
      </w:r>
    </w:p>
    <w:p w14:paraId="7097B804" w14:textId="77777777" w:rsidR="00D944A4" w:rsidRPr="006D6FC6" w:rsidRDefault="003D3F94" w:rsidP="006D6FC6">
      <w:pPr>
        <w:widowControl w:val="0"/>
        <w:spacing w:beforeLines="100" w:before="240" w:after="100" w:line="360" w:lineRule="auto"/>
        <w:rPr>
          <w:rFonts w:eastAsiaTheme="minorEastAsia"/>
          <w:kern w:val="2"/>
          <w:lang w:eastAsia="zh-CN"/>
        </w:rPr>
      </w:pPr>
      <w:r w:rsidRPr="006D6FC6">
        <w:rPr>
          <w:rFonts w:eastAsia="Times New Roman"/>
          <w:kern w:val="2"/>
          <w:lang w:eastAsia="zh-CN"/>
        </w:rPr>
        <w:t xml:space="preserve">We have designed a novel NFREA, </w:t>
      </w:r>
      <w:r w:rsidRPr="006D6FC6">
        <w:rPr>
          <w:rFonts w:eastAsia="Times New Roman"/>
          <w:b/>
          <w:bCs/>
          <w:kern w:val="2"/>
          <w:lang w:eastAsia="zh-CN"/>
        </w:rPr>
        <w:t>TT-Ph-C6</w:t>
      </w:r>
      <w:r w:rsidRPr="006D6FC6">
        <w:rPr>
          <w:rFonts w:eastAsia="Times New Roman"/>
          <w:kern w:val="2"/>
          <w:lang w:eastAsia="zh-CN"/>
        </w:rPr>
        <w:t xml:space="preserve">, featuring asymmetric side chains, which demonstrates substantial improvements in photovoltaic performance compared to the conventional 2BTh-2F. Due to its compact molecular arrangement and enhanced π-π stacking interactions, </w:t>
      </w:r>
      <w:r w:rsidRPr="006D6FC6">
        <w:rPr>
          <w:rFonts w:eastAsia="Times New Roman"/>
          <w:b/>
          <w:bCs/>
          <w:kern w:val="2"/>
          <w:lang w:eastAsia="zh-CN"/>
        </w:rPr>
        <w:t>TT-Ph-C6</w:t>
      </w:r>
      <w:r w:rsidRPr="006D6FC6">
        <w:rPr>
          <w:rFonts w:eastAsia="Times New Roman"/>
          <w:kern w:val="2"/>
          <w:lang w:eastAsia="zh-CN"/>
        </w:rPr>
        <w:t xml:space="preserve"> not only exhibits improved electron mobility but also prolonged exciton diffusion lengths, achieving a remarkable PCE of 18.01% and an FF of 80.10%. This surpasses the performance of devices based on 2BTh-2F with symmetric side chains (16.78%). Impressively, </w:t>
      </w:r>
      <w:r w:rsidRPr="006D6FC6">
        <w:rPr>
          <w:rFonts w:eastAsia="Times New Roman"/>
          <w:b/>
          <w:bCs/>
          <w:kern w:val="2"/>
          <w:lang w:eastAsia="zh-CN"/>
        </w:rPr>
        <w:t>TT-Ph-C6</w:t>
      </w:r>
      <w:r w:rsidRPr="006D6FC6">
        <w:rPr>
          <w:rFonts w:eastAsia="Times New Roman"/>
          <w:kern w:val="2"/>
          <w:lang w:eastAsia="zh-CN"/>
        </w:rPr>
        <w:t xml:space="preserve"> exhibits exceptional performance in thick-film configurations. Even at a thickness of 200 nm, it maintains a PCE of 15.18%; when the thickness is increased to 300 nm, the PCE still reaches an impressive 14.64%, marking a new milestone for NFREA materials. In conclusion, In conclusion, this molecular design strategy featuring asymmetric side chains offers a new pathway for developing cost-effective, high-performance NFREAs. It holds significant potential for advancing research and development in OSCs, particularly those that exhibit high efficiency and robustness against thickness variations. </w:t>
      </w:r>
    </w:p>
    <w:p w14:paraId="265C64DA" w14:textId="77777777" w:rsidR="00D944A4" w:rsidRPr="006D6FC6" w:rsidRDefault="00ED05B9" w:rsidP="006D6FC6">
      <w:pPr>
        <w:spacing w:beforeLines="100" w:before="240" w:afterLines="100" w:after="240" w:line="360" w:lineRule="auto"/>
        <w:rPr>
          <w:rFonts w:eastAsia="宋体"/>
          <w:b/>
          <w:sz w:val="28"/>
          <w:szCs w:val="28"/>
          <w:lang w:val="en-US" w:eastAsia="en-US"/>
        </w:rPr>
      </w:pPr>
      <w:r w:rsidRPr="006D6FC6">
        <w:rPr>
          <w:rFonts w:eastAsia="宋体"/>
          <w:b/>
          <w:sz w:val="28"/>
          <w:szCs w:val="28"/>
          <w:lang w:val="en-US" w:eastAsia="en-US"/>
        </w:rPr>
        <w:t>Acknowledgments</w:t>
      </w:r>
    </w:p>
    <w:p w14:paraId="28A64EA1" w14:textId="77777777" w:rsidR="00D944A4" w:rsidRPr="006D6FC6" w:rsidRDefault="003D3F94" w:rsidP="006D6FC6">
      <w:pPr>
        <w:pStyle w:val="MainText"/>
        <w:spacing w:beforeLines="100" w:before="240" w:after="100" w:line="360" w:lineRule="auto"/>
      </w:pPr>
      <w:r w:rsidRPr="006D6FC6">
        <w:rPr>
          <w:rFonts w:hint="eastAsia"/>
        </w:rPr>
        <w:t>Financial support from the National Natural Science Foundation of China (22375024</w:t>
      </w:r>
      <w:r w:rsidRPr="006D6FC6">
        <w:rPr>
          <w:rFonts w:hint="eastAsia"/>
        </w:rPr>
        <w:t>，</w:t>
      </w:r>
      <w:r w:rsidRPr="006D6FC6">
        <w:rPr>
          <w:rFonts w:hint="eastAsia"/>
        </w:rPr>
        <w:t>21975031, 21734009, 51933001, 22109080 and 52173174), the Natural Science Foundation of Shandong Province (no. ZR2022YQ45), the Taishan Scholars Program (no. tstp20221121 and</w:t>
      </w:r>
      <w:r w:rsidRPr="006D6FC6">
        <w:t xml:space="preserve"> no. tsqnz20221134), </w:t>
      </w:r>
      <w:r w:rsidR="00090991" w:rsidRPr="006D6FC6">
        <w:t>The Beijing Natural Science Foundation (</w:t>
      </w:r>
      <w:r w:rsidR="007B2931" w:rsidRPr="006D6FC6">
        <w:rPr>
          <w:rFonts w:eastAsiaTheme="minorEastAsia" w:hint="eastAsia"/>
          <w:lang w:eastAsia="zh-CN"/>
        </w:rPr>
        <w:t>no</w:t>
      </w:r>
      <w:r w:rsidR="00090991" w:rsidRPr="006D6FC6">
        <w:t xml:space="preserve">. 2244073), </w:t>
      </w:r>
      <w:r w:rsidRPr="006D6FC6">
        <w:t>Supported by State Key Laboratory of Bio-Fibers and Eco-Textiles (Qing-dao University) (RZ2200002821) is acknowledged. A portion of this work is based on the data obtained at BSRF-1W1A. The authors gratefully acknowledge the cooperation of the beamline scientists at BSRF-1W1A beamline.</w:t>
      </w:r>
    </w:p>
    <w:p w14:paraId="57776793" w14:textId="1E2BEF80" w:rsidR="00D944A4" w:rsidRPr="006D6FC6" w:rsidRDefault="00097CA5" w:rsidP="006D6FC6">
      <w:pPr>
        <w:pStyle w:val="MainText"/>
        <w:spacing w:beforeLines="100" w:before="240" w:afterLines="100" w:after="240" w:line="360" w:lineRule="auto"/>
        <w:rPr>
          <w:rFonts w:eastAsia="宋体"/>
          <w:lang w:val="de-DE"/>
        </w:rPr>
      </w:pPr>
      <w:bookmarkStart w:id="8" w:name="OLE_LINK2"/>
      <w:r w:rsidRPr="006D6FC6">
        <w:rPr>
          <w:rFonts w:eastAsia="宋体" w:hint="eastAsia"/>
          <w:b/>
          <w:sz w:val="28"/>
          <w:szCs w:val="28"/>
          <w:lang w:eastAsia="en-US"/>
        </w:rPr>
        <w:t xml:space="preserve">Author </w:t>
      </w:r>
      <w:r w:rsidR="0064337B" w:rsidRPr="006D6FC6">
        <w:rPr>
          <w:rFonts w:eastAsia="宋体" w:hint="eastAsia"/>
          <w:b/>
          <w:sz w:val="28"/>
          <w:szCs w:val="28"/>
          <w:lang w:eastAsia="en-US"/>
        </w:rPr>
        <w:t>C</w:t>
      </w:r>
      <w:r w:rsidRPr="006D6FC6">
        <w:rPr>
          <w:rFonts w:eastAsia="宋体" w:hint="eastAsia"/>
          <w:b/>
          <w:sz w:val="28"/>
          <w:szCs w:val="28"/>
          <w:lang w:eastAsia="en-US"/>
        </w:rPr>
        <w:t>ontribution</w:t>
      </w:r>
      <w:r w:rsidR="0064337B" w:rsidRPr="006D6FC6">
        <w:rPr>
          <w:rFonts w:eastAsia="宋体" w:hint="eastAsia"/>
          <w:b/>
          <w:sz w:val="28"/>
          <w:szCs w:val="28"/>
          <w:lang w:eastAsia="en-US"/>
        </w:rPr>
        <w:t>s</w:t>
      </w:r>
      <w:r w:rsidR="0064337B" w:rsidRPr="006D6FC6">
        <w:rPr>
          <w:rFonts w:eastAsia="宋体" w:hint="eastAsia"/>
          <w:lang w:val="de-DE"/>
        </w:rPr>
        <w:t xml:space="preserve"> </w:t>
      </w:r>
    </w:p>
    <w:p w14:paraId="5562251C" w14:textId="77777777" w:rsidR="00D944A4" w:rsidRPr="006D6FC6" w:rsidRDefault="000134B7" w:rsidP="006D6FC6">
      <w:pPr>
        <w:pStyle w:val="MainText"/>
        <w:spacing w:beforeLines="100" w:before="240" w:afterLines="100" w:after="240" w:line="360" w:lineRule="auto"/>
        <w:rPr>
          <w:lang w:val="de-DE"/>
        </w:rPr>
      </w:pPr>
      <w:r w:rsidRPr="006D6FC6">
        <w:rPr>
          <w:lang w:val="de-DE"/>
        </w:rPr>
        <w:t>Dawei Li and Nan Wei contribute equally to this work. Hao Lu, Yahui Liu, Cuihong Li and Zhishan Bo: propose and supervise the project. Cuihong Li and Yahui Liu: conceive and design the experiments. Dawei Li: carries out the synthesis, structural characterizations, and electrochemical tests. Nan Wei and Hao Lu perform the OSC fabrication and morphological study. Ya-nan Chen, Xiaodong Wang and Xinyuan Zhang: carry out single crystal culture and testing, and process and analyze the single crystal data. Ziqing Bian, Xinjun Xu and Zhe Zhang: carry out TEM tests and image processing. Xu Han and Wenkai Zhang: test and analyze the ultrafast absorption spectra. Dawei Li, Hao Lu and Yahui Liu co-write the manuscript</w:t>
      </w:r>
      <w:r w:rsidR="001E5A13" w:rsidRPr="006D6FC6">
        <w:rPr>
          <w:lang w:val="de-DE"/>
        </w:rPr>
        <w:t xml:space="preserve"> All authors discussed the results and participated in analyzing the experimental results.</w:t>
      </w:r>
    </w:p>
    <w:p w14:paraId="4C88CE11" w14:textId="672D66DD" w:rsidR="00D944A4" w:rsidRPr="006D6FC6" w:rsidRDefault="00DC2890" w:rsidP="006D6FC6">
      <w:pPr>
        <w:spacing w:beforeLines="100" w:before="240" w:after="100" w:line="360" w:lineRule="auto"/>
        <w:rPr>
          <w:rFonts w:eastAsiaTheme="minorEastAsia"/>
          <w:b/>
          <w:sz w:val="28"/>
          <w:szCs w:val="28"/>
          <w:lang w:eastAsia="zh-CN"/>
        </w:rPr>
      </w:pPr>
      <w:bookmarkStart w:id="9" w:name="OLE_LINK415"/>
      <w:bookmarkStart w:id="10" w:name="OLE_LINK413"/>
      <w:bookmarkEnd w:id="8"/>
      <w:r w:rsidRPr="006D6FC6">
        <w:rPr>
          <w:b/>
          <w:sz w:val="28"/>
          <w:szCs w:val="28"/>
        </w:rPr>
        <w:t xml:space="preserve">Declarations </w:t>
      </w:r>
      <w:bookmarkStart w:id="11" w:name="OLE_LINK414"/>
      <w:bookmarkStart w:id="12" w:name="OLE_LINK1"/>
    </w:p>
    <w:p w14:paraId="41072035" w14:textId="70EDD72A" w:rsidR="00930A08" w:rsidRDefault="00DC2890" w:rsidP="006D6FC6">
      <w:pPr>
        <w:spacing w:beforeLines="100" w:before="240" w:after="100" w:line="360" w:lineRule="auto"/>
        <w:rPr>
          <w:rFonts w:eastAsia="宋体"/>
          <w:lang w:eastAsia="zh-CN"/>
        </w:rPr>
      </w:pPr>
      <w:r w:rsidRPr="006D6FC6">
        <w:rPr>
          <w:rFonts w:eastAsiaTheme="minorEastAsia" w:hint="eastAsia"/>
          <w:b/>
          <w:sz w:val="28"/>
          <w:szCs w:val="28"/>
          <w:lang w:eastAsia="zh-CN"/>
        </w:rPr>
        <w:t>C</w:t>
      </w:r>
      <w:r w:rsidRPr="006D6FC6">
        <w:rPr>
          <w:rFonts w:eastAsiaTheme="minorEastAsia"/>
          <w:b/>
          <w:sz w:val="28"/>
          <w:szCs w:val="28"/>
          <w:lang w:eastAsia="zh-CN"/>
        </w:rPr>
        <w:t xml:space="preserve">onflict of </w:t>
      </w:r>
      <w:r w:rsidRPr="006D6FC6">
        <w:rPr>
          <w:rFonts w:eastAsiaTheme="minorEastAsia" w:hint="eastAsia"/>
          <w:b/>
          <w:sz w:val="28"/>
          <w:szCs w:val="28"/>
          <w:lang w:eastAsia="zh-CN"/>
        </w:rPr>
        <w:t>Int</w:t>
      </w:r>
      <w:r w:rsidRPr="006D6FC6">
        <w:rPr>
          <w:rFonts w:eastAsiaTheme="minorEastAsia"/>
          <w:b/>
          <w:sz w:val="28"/>
          <w:szCs w:val="28"/>
          <w:lang w:eastAsia="zh-CN"/>
        </w:rPr>
        <w:t xml:space="preserve">erest  </w:t>
      </w:r>
      <w:bookmarkEnd w:id="11"/>
      <w:r w:rsidRPr="006D6FC6">
        <w:rPr>
          <w:rFonts w:eastAsia="宋体"/>
        </w:rPr>
        <w:t>The authors declare no interest conf</w:t>
      </w:r>
      <w:r w:rsidRPr="006D6FC6">
        <w:rPr>
          <w:rFonts w:eastAsia="宋体" w:hint="eastAsia"/>
          <w:lang w:eastAsia="zh-CN"/>
        </w:rPr>
        <w:t>l</w:t>
      </w:r>
      <w:r w:rsidRPr="006D6FC6">
        <w:rPr>
          <w:rFonts w:eastAsia="宋体"/>
        </w:rPr>
        <w:t>ict. They have no known competing financial</w:t>
      </w:r>
      <w:r w:rsidRPr="006D6FC6">
        <w:rPr>
          <w:rFonts w:eastAsia="宋体" w:hint="eastAsia"/>
        </w:rPr>
        <w:t xml:space="preserve"> </w:t>
      </w:r>
      <w:r w:rsidRPr="006D6FC6">
        <w:rPr>
          <w:rFonts w:eastAsia="宋体"/>
        </w:rPr>
        <w:t>interests or personal relationships that could have appeared to influence the work reported in this pa</w:t>
      </w:r>
      <w:r w:rsidR="00073B0F">
        <w:rPr>
          <w:rFonts w:eastAsia="宋体" w:hint="eastAsia"/>
          <w:lang w:eastAsia="zh-CN"/>
        </w:rPr>
        <w:t>per.</w:t>
      </w:r>
    </w:p>
    <w:p w14:paraId="786B3DD1" w14:textId="405F535C" w:rsidR="00073B0F" w:rsidRDefault="00073B0F">
      <w:pPr>
        <w:rPr>
          <w:rFonts w:eastAsia="宋体"/>
          <w:lang w:eastAsia="zh-CN"/>
        </w:rPr>
      </w:pPr>
      <w:r>
        <w:rPr>
          <w:rFonts w:eastAsia="宋体"/>
          <w:lang w:eastAsia="zh-CN"/>
        </w:rPr>
        <w:br w:type="page"/>
      </w:r>
    </w:p>
    <w:p w14:paraId="240DC3D2" w14:textId="77777777" w:rsidR="00073B0F" w:rsidRPr="006D6FC6" w:rsidRDefault="00073B0F" w:rsidP="006D6FC6">
      <w:pPr>
        <w:spacing w:beforeLines="100" w:before="240" w:after="100" w:line="360" w:lineRule="auto"/>
        <w:rPr>
          <w:rFonts w:eastAsia="宋体" w:hint="eastAsia"/>
          <w:lang w:eastAsia="zh-CN"/>
        </w:rPr>
      </w:pPr>
    </w:p>
    <w:p w14:paraId="701CACB8" w14:textId="41148516" w:rsidR="00930A08" w:rsidRPr="00930A08" w:rsidRDefault="00930A08">
      <w:pPr>
        <w:rPr>
          <w:rFonts w:eastAsiaTheme="minorEastAsia"/>
          <w:b/>
          <w:sz w:val="28"/>
          <w:szCs w:val="28"/>
          <w:lang w:eastAsia="zh-CN"/>
        </w:rPr>
      </w:pPr>
      <w:bookmarkStart w:id="13" w:name="OLE_LINK8"/>
      <w:bookmarkEnd w:id="9"/>
      <w:bookmarkEnd w:id="10"/>
      <w:bookmarkEnd w:id="12"/>
      <w:r w:rsidRPr="00F8379E">
        <w:rPr>
          <w:rFonts w:eastAsia="Times New Roman"/>
          <w:b/>
          <w:bCs/>
          <w:kern w:val="2"/>
          <w:lang w:eastAsia="zh-CN"/>
        </w:rPr>
        <w:t>Table 1</w:t>
      </w:r>
      <w:r w:rsidRPr="00F8379E">
        <w:rPr>
          <w:rFonts w:eastAsia="Times New Roman"/>
          <w:kern w:val="2"/>
          <w:lang w:eastAsia="zh-CN"/>
        </w:rPr>
        <w:t xml:space="preserve"> Optical and electronic properties of </w:t>
      </w:r>
      <w:r w:rsidRPr="00F8379E">
        <w:rPr>
          <w:rFonts w:eastAsia="Times New Roman"/>
          <w:b/>
          <w:bCs/>
          <w:kern w:val="2"/>
          <w:lang w:eastAsia="zh-CN"/>
        </w:rPr>
        <w:t>TT-Ph-C6</w:t>
      </w:r>
      <w:r w:rsidRPr="00F8379E">
        <w:rPr>
          <w:rFonts w:eastAsia="Times New Roman"/>
          <w:kern w:val="2"/>
          <w:lang w:eastAsia="zh-CN"/>
        </w:rPr>
        <w:t xml:space="preserve"> and 2BTh-2F</w:t>
      </w:r>
      <w:bookmarkEnd w:id="13"/>
    </w:p>
    <w:tbl>
      <w:tblPr>
        <w:tblW w:w="5000" w:type="pct"/>
        <w:tblLook w:val="01E0" w:firstRow="1" w:lastRow="1" w:firstColumn="1" w:lastColumn="1" w:noHBand="0" w:noVBand="0"/>
      </w:tblPr>
      <w:tblGrid>
        <w:gridCol w:w="1418"/>
        <w:gridCol w:w="1555"/>
        <w:gridCol w:w="1205"/>
        <w:gridCol w:w="1205"/>
        <w:gridCol w:w="1156"/>
        <w:gridCol w:w="1299"/>
        <w:gridCol w:w="1234"/>
      </w:tblGrid>
      <w:tr w:rsidR="00930A08" w:rsidRPr="008E70F5" w14:paraId="00F6EF59" w14:textId="77777777" w:rsidTr="00294642">
        <w:tc>
          <w:tcPr>
            <w:tcW w:w="782" w:type="pct"/>
            <w:tcBorders>
              <w:top w:val="single" w:sz="4" w:space="0" w:color="000000"/>
              <w:bottom w:val="single" w:sz="4" w:space="0" w:color="000000"/>
            </w:tcBorders>
            <w:vAlign w:val="center"/>
          </w:tcPr>
          <w:p w14:paraId="538D7AE9" w14:textId="77777777" w:rsidR="00930A08" w:rsidRPr="008E70F5" w:rsidRDefault="00930A08" w:rsidP="00294642">
            <w:pPr>
              <w:pStyle w:val="TableHead"/>
              <w:spacing w:line="240" w:lineRule="auto"/>
              <w:jc w:val="left"/>
              <w:rPr>
                <w:rFonts w:ascii="Times New Roman" w:eastAsia="Times New Roman" w:hAnsi="Times New Roman"/>
                <w:kern w:val="2"/>
                <w:sz w:val="24"/>
                <w:szCs w:val="24"/>
                <w:lang w:val="de-DE" w:eastAsia="zh-CN"/>
              </w:rPr>
            </w:pPr>
            <w:r w:rsidRPr="008E70F5">
              <w:rPr>
                <w:rFonts w:ascii="Times New Roman" w:eastAsia="Times New Roman" w:hAnsi="Times New Roman"/>
                <w:kern w:val="2"/>
                <w:sz w:val="24"/>
                <w:szCs w:val="24"/>
                <w:lang w:val="de-DE" w:eastAsia="zh-CN"/>
              </w:rPr>
              <w:t>Acceptor</w:t>
            </w:r>
          </w:p>
        </w:tc>
        <w:tc>
          <w:tcPr>
            <w:tcW w:w="857" w:type="pct"/>
            <w:tcBorders>
              <w:top w:val="single" w:sz="4" w:space="0" w:color="000000"/>
              <w:bottom w:val="single" w:sz="4" w:space="0" w:color="000000"/>
            </w:tcBorders>
          </w:tcPr>
          <w:p w14:paraId="75B11F06"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i/>
                <w:iCs/>
                <w:kern w:val="2"/>
                <w:sz w:val="24"/>
                <w:szCs w:val="24"/>
                <w:lang w:val="de-DE" w:eastAsia="zh-CN"/>
              </w:rPr>
              <w:t>λ</w:t>
            </w:r>
            <w:r w:rsidRPr="008E70F5">
              <w:rPr>
                <w:rFonts w:ascii="Times New Roman" w:eastAsia="Times New Roman" w:hAnsi="Times New Roman"/>
                <w:kern w:val="2"/>
                <w:sz w:val="24"/>
                <w:szCs w:val="24"/>
                <w:vertAlign w:val="subscript"/>
                <w:lang w:val="de-DE" w:eastAsia="zh-CN"/>
              </w:rPr>
              <w:t>max</w:t>
            </w:r>
          </w:p>
          <w:p w14:paraId="270015FA"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kern w:val="2"/>
                <w:sz w:val="24"/>
                <w:szCs w:val="24"/>
                <w:lang w:val="de-DE" w:eastAsia="zh-CN"/>
              </w:rPr>
              <w:t xml:space="preserve">(nm) </w:t>
            </w:r>
            <w:r w:rsidRPr="008E70F5">
              <w:rPr>
                <w:rFonts w:ascii="Times New Roman" w:eastAsia="Times New Roman" w:hAnsi="Times New Roman"/>
                <w:kern w:val="2"/>
                <w:sz w:val="24"/>
                <w:szCs w:val="24"/>
                <w:vertAlign w:val="superscript"/>
                <w:lang w:val="de-DE" w:eastAsia="zh-CN"/>
              </w:rPr>
              <w:t>a)</w:t>
            </w:r>
          </w:p>
        </w:tc>
        <w:tc>
          <w:tcPr>
            <w:tcW w:w="664" w:type="pct"/>
            <w:tcBorders>
              <w:top w:val="single" w:sz="4" w:space="0" w:color="000000"/>
              <w:bottom w:val="single" w:sz="4" w:space="0" w:color="000000"/>
            </w:tcBorders>
            <w:vAlign w:val="center"/>
          </w:tcPr>
          <w:p w14:paraId="4957E7C5"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i/>
                <w:iCs/>
                <w:kern w:val="2"/>
                <w:sz w:val="24"/>
                <w:szCs w:val="24"/>
                <w:lang w:val="de-DE" w:eastAsia="zh-CN"/>
              </w:rPr>
              <w:t>λ</w:t>
            </w:r>
            <w:r w:rsidRPr="008E70F5">
              <w:rPr>
                <w:rFonts w:ascii="Times New Roman" w:eastAsia="Times New Roman" w:hAnsi="Times New Roman"/>
                <w:kern w:val="2"/>
                <w:sz w:val="24"/>
                <w:szCs w:val="24"/>
                <w:vertAlign w:val="subscript"/>
                <w:lang w:val="de-DE" w:eastAsia="zh-CN"/>
              </w:rPr>
              <w:t>max</w:t>
            </w:r>
          </w:p>
          <w:p w14:paraId="4C634323"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kern w:val="2"/>
                <w:sz w:val="24"/>
                <w:szCs w:val="24"/>
                <w:lang w:val="de-DE" w:eastAsia="zh-CN"/>
              </w:rPr>
              <w:t xml:space="preserve">(nm) </w:t>
            </w:r>
            <w:r w:rsidRPr="008E70F5">
              <w:rPr>
                <w:rFonts w:ascii="Times New Roman" w:eastAsia="Times New Roman" w:hAnsi="Times New Roman"/>
                <w:kern w:val="2"/>
                <w:sz w:val="24"/>
                <w:szCs w:val="24"/>
                <w:vertAlign w:val="superscript"/>
                <w:lang w:val="de-DE" w:eastAsia="zh-CN"/>
              </w:rPr>
              <w:t>b)</w:t>
            </w:r>
          </w:p>
        </w:tc>
        <w:tc>
          <w:tcPr>
            <w:tcW w:w="664" w:type="pct"/>
            <w:tcBorders>
              <w:top w:val="single" w:sz="4" w:space="0" w:color="000000"/>
              <w:bottom w:val="single" w:sz="4" w:space="0" w:color="000000"/>
            </w:tcBorders>
            <w:vAlign w:val="center"/>
          </w:tcPr>
          <w:p w14:paraId="17137600"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i/>
                <w:iCs/>
                <w:kern w:val="2"/>
                <w:sz w:val="24"/>
                <w:szCs w:val="24"/>
                <w:lang w:val="de-DE" w:eastAsia="zh-CN"/>
              </w:rPr>
              <w:t>λ</w:t>
            </w:r>
            <w:r w:rsidRPr="008E70F5">
              <w:rPr>
                <w:rFonts w:ascii="Times New Roman" w:eastAsia="Times New Roman" w:hAnsi="Times New Roman"/>
                <w:kern w:val="2"/>
                <w:sz w:val="24"/>
                <w:szCs w:val="24"/>
                <w:vertAlign w:val="subscript"/>
                <w:lang w:val="de-DE" w:eastAsia="zh-CN"/>
              </w:rPr>
              <w:t>onset</w:t>
            </w:r>
          </w:p>
          <w:p w14:paraId="60A2A122"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bookmarkStart w:id="14" w:name="OLE_LINK6"/>
            <w:r w:rsidRPr="008E70F5">
              <w:rPr>
                <w:rFonts w:ascii="Times New Roman" w:eastAsia="Times New Roman" w:hAnsi="Times New Roman"/>
                <w:kern w:val="2"/>
                <w:sz w:val="24"/>
                <w:szCs w:val="24"/>
                <w:lang w:val="de-DE" w:eastAsia="zh-CN"/>
              </w:rPr>
              <w:t xml:space="preserve">(nm) </w:t>
            </w:r>
            <w:r w:rsidRPr="008E70F5">
              <w:rPr>
                <w:rFonts w:ascii="Times New Roman" w:eastAsia="Times New Roman" w:hAnsi="Times New Roman"/>
                <w:kern w:val="2"/>
                <w:sz w:val="24"/>
                <w:szCs w:val="24"/>
                <w:vertAlign w:val="superscript"/>
                <w:lang w:val="de-DE" w:eastAsia="zh-CN"/>
              </w:rPr>
              <w:t>b)</w:t>
            </w:r>
            <w:bookmarkEnd w:id="14"/>
          </w:p>
        </w:tc>
        <w:tc>
          <w:tcPr>
            <w:tcW w:w="637" w:type="pct"/>
            <w:tcBorders>
              <w:top w:val="single" w:sz="4" w:space="0" w:color="000000"/>
              <w:bottom w:val="single" w:sz="4" w:space="0" w:color="000000"/>
            </w:tcBorders>
            <w:vAlign w:val="center"/>
          </w:tcPr>
          <w:p w14:paraId="5A0C8BF6"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i/>
                <w:iCs/>
                <w:kern w:val="2"/>
                <w:sz w:val="24"/>
                <w:szCs w:val="24"/>
                <w:lang w:val="de-DE" w:eastAsia="zh-CN"/>
              </w:rPr>
              <w:t>E</w:t>
            </w:r>
            <w:r w:rsidRPr="008E70F5">
              <w:rPr>
                <w:rFonts w:ascii="Times New Roman" w:eastAsia="Times New Roman" w:hAnsi="Times New Roman"/>
                <w:kern w:val="2"/>
                <w:sz w:val="24"/>
                <w:szCs w:val="24"/>
                <w:vertAlign w:val="subscript"/>
                <w:lang w:val="de-DE" w:eastAsia="zh-CN"/>
              </w:rPr>
              <w:t>g</w:t>
            </w:r>
            <w:r w:rsidRPr="008E70F5">
              <w:rPr>
                <w:rFonts w:ascii="Times New Roman" w:eastAsia="Times New Roman" w:hAnsi="Times New Roman"/>
                <w:kern w:val="2"/>
                <w:sz w:val="24"/>
                <w:szCs w:val="24"/>
                <w:vertAlign w:val="superscript"/>
                <w:lang w:val="de-DE" w:eastAsia="zh-CN"/>
              </w:rPr>
              <w:t>opt</w:t>
            </w:r>
          </w:p>
          <w:p w14:paraId="2E624AD0"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kern w:val="2"/>
                <w:sz w:val="24"/>
                <w:szCs w:val="24"/>
                <w:lang w:val="de-DE" w:eastAsia="zh-CN"/>
              </w:rPr>
              <w:t xml:space="preserve">(eV) </w:t>
            </w:r>
            <w:r w:rsidRPr="008E70F5">
              <w:rPr>
                <w:rFonts w:ascii="Times New Roman" w:eastAsia="Times New Roman" w:hAnsi="Times New Roman"/>
                <w:kern w:val="2"/>
                <w:sz w:val="24"/>
                <w:szCs w:val="24"/>
                <w:vertAlign w:val="superscript"/>
                <w:lang w:val="de-DE" w:eastAsia="zh-CN"/>
              </w:rPr>
              <w:t>b)</w:t>
            </w:r>
          </w:p>
        </w:tc>
        <w:tc>
          <w:tcPr>
            <w:tcW w:w="716" w:type="pct"/>
            <w:tcBorders>
              <w:top w:val="single" w:sz="4" w:space="0" w:color="000000"/>
              <w:bottom w:val="single" w:sz="4" w:space="0" w:color="000000"/>
            </w:tcBorders>
            <w:vAlign w:val="center"/>
          </w:tcPr>
          <w:p w14:paraId="0BDCDD5D"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kern w:val="2"/>
                <w:sz w:val="24"/>
                <w:szCs w:val="24"/>
                <w:lang w:val="de-DE" w:eastAsia="zh-CN"/>
              </w:rPr>
              <w:t>HOMO</w:t>
            </w:r>
          </w:p>
          <w:p w14:paraId="3324FD6C"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kern w:val="2"/>
                <w:sz w:val="24"/>
                <w:szCs w:val="24"/>
                <w:lang w:val="de-DE" w:eastAsia="zh-CN"/>
              </w:rPr>
              <w:t>(eV)</w:t>
            </w:r>
          </w:p>
        </w:tc>
        <w:tc>
          <w:tcPr>
            <w:tcW w:w="680" w:type="pct"/>
            <w:tcBorders>
              <w:top w:val="single" w:sz="4" w:space="0" w:color="000000"/>
              <w:bottom w:val="single" w:sz="4" w:space="0" w:color="000000"/>
            </w:tcBorders>
            <w:vAlign w:val="center"/>
          </w:tcPr>
          <w:p w14:paraId="2D1ADA66"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kern w:val="2"/>
                <w:sz w:val="24"/>
                <w:szCs w:val="24"/>
                <w:lang w:val="de-DE" w:eastAsia="zh-CN"/>
              </w:rPr>
              <w:t>LUMO</w:t>
            </w:r>
          </w:p>
          <w:p w14:paraId="7A393D70" w14:textId="77777777" w:rsidR="00930A08" w:rsidRPr="008E70F5" w:rsidRDefault="00930A08" w:rsidP="00294642">
            <w:pPr>
              <w:pStyle w:val="TableHead"/>
              <w:spacing w:line="240" w:lineRule="auto"/>
              <w:jc w:val="center"/>
              <w:rPr>
                <w:rFonts w:ascii="Times New Roman" w:eastAsia="Times New Roman" w:hAnsi="Times New Roman"/>
                <w:kern w:val="2"/>
                <w:sz w:val="24"/>
                <w:szCs w:val="24"/>
                <w:lang w:val="de-DE" w:eastAsia="zh-CN"/>
              </w:rPr>
            </w:pPr>
            <w:r w:rsidRPr="008E70F5">
              <w:rPr>
                <w:rFonts w:ascii="Times New Roman" w:eastAsia="Times New Roman" w:hAnsi="Times New Roman"/>
                <w:kern w:val="2"/>
                <w:sz w:val="24"/>
                <w:szCs w:val="24"/>
                <w:lang w:val="de-DE" w:eastAsia="zh-CN"/>
              </w:rPr>
              <w:t>(eV)</w:t>
            </w:r>
          </w:p>
        </w:tc>
      </w:tr>
      <w:tr w:rsidR="00930A08" w:rsidRPr="00A16B1F" w14:paraId="2CA91661" w14:textId="77777777" w:rsidTr="00294642">
        <w:tc>
          <w:tcPr>
            <w:tcW w:w="782" w:type="pct"/>
            <w:tcBorders>
              <w:top w:val="single" w:sz="4" w:space="0" w:color="000000"/>
            </w:tcBorders>
          </w:tcPr>
          <w:p w14:paraId="1C48CDF9"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rPr>
                <w:b/>
                <w:bCs/>
                <w:szCs w:val="21"/>
              </w:rPr>
            </w:pPr>
            <w:r w:rsidRPr="008E70F5">
              <w:rPr>
                <w:b/>
                <w:bCs/>
                <w:szCs w:val="21"/>
              </w:rPr>
              <w:t>TT-Ph-C6</w:t>
            </w:r>
          </w:p>
        </w:tc>
        <w:tc>
          <w:tcPr>
            <w:tcW w:w="857" w:type="pct"/>
            <w:tcBorders>
              <w:top w:val="single" w:sz="4" w:space="0" w:color="000000"/>
            </w:tcBorders>
          </w:tcPr>
          <w:p w14:paraId="30129C7B"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707</w:t>
            </w:r>
          </w:p>
        </w:tc>
        <w:tc>
          <w:tcPr>
            <w:tcW w:w="664" w:type="pct"/>
            <w:tcBorders>
              <w:top w:val="single" w:sz="4" w:space="0" w:color="000000"/>
            </w:tcBorders>
            <w:vAlign w:val="center"/>
          </w:tcPr>
          <w:p w14:paraId="5509E38D"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760</w:t>
            </w:r>
          </w:p>
        </w:tc>
        <w:tc>
          <w:tcPr>
            <w:tcW w:w="664" w:type="pct"/>
            <w:tcBorders>
              <w:top w:val="single" w:sz="4" w:space="0" w:color="000000"/>
            </w:tcBorders>
            <w:vAlign w:val="center"/>
          </w:tcPr>
          <w:p w14:paraId="776B77A4"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868</w:t>
            </w:r>
          </w:p>
        </w:tc>
        <w:tc>
          <w:tcPr>
            <w:tcW w:w="637" w:type="pct"/>
            <w:tcBorders>
              <w:top w:val="single" w:sz="4" w:space="0" w:color="000000"/>
            </w:tcBorders>
            <w:vAlign w:val="center"/>
          </w:tcPr>
          <w:p w14:paraId="70D9C7CF"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1.43</w:t>
            </w:r>
          </w:p>
        </w:tc>
        <w:tc>
          <w:tcPr>
            <w:tcW w:w="716" w:type="pct"/>
            <w:tcBorders>
              <w:top w:val="single" w:sz="4" w:space="0" w:color="000000"/>
            </w:tcBorders>
            <w:vAlign w:val="center"/>
          </w:tcPr>
          <w:p w14:paraId="6DD34C81"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-5.57</w:t>
            </w:r>
          </w:p>
        </w:tc>
        <w:tc>
          <w:tcPr>
            <w:tcW w:w="680" w:type="pct"/>
            <w:tcBorders>
              <w:top w:val="single" w:sz="4" w:space="0" w:color="000000"/>
            </w:tcBorders>
            <w:vAlign w:val="center"/>
          </w:tcPr>
          <w:p w14:paraId="5E2AD7E3"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-4.00</w:t>
            </w:r>
          </w:p>
        </w:tc>
      </w:tr>
      <w:tr w:rsidR="00930A08" w:rsidRPr="00A16B1F" w14:paraId="69F9EAF1" w14:textId="77777777" w:rsidTr="00294642">
        <w:tc>
          <w:tcPr>
            <w:tcW w:w="782" w:type="pct"/>
            <w:tcBorders>
              <w:bottom w:val="single" w:sz="4" w:space="0" w:color="auto"/>
            </w:tcBorders>
            <w:vAlign w:val="center"/>
          </w:tcPr>
          <w:p w14:paraId="6DCC44D4"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rPr>
                <w:szCs w:val="21"/>
              </w:rPr>
            </w:pPr>
            <w:r w:rsidRPr="008E70F5">
              <w:rPr>
                <w:szCs w:val="21"/>
              </w:rPr>
              <w:t>2BTh-2F</w:t>
            </w:r>
          </w:p>
        </w:tc>
        <w:tc>
          <w:tcPr>
            <w:tcW w:w="857" w:type="pct"/>
            <w:tcBorders>
              <w:bottom w:val="single" w:sz="4" w:space="0" w:color="auto"/>
            </w:tcBorders>
          </w:tcPr>
          <w:p w14:paraId="50795EB1"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726</w:t>
            </w:r>
          </w:p>
        </w:tc>
        <w:tc>
          <w:tcPr>
            <w:tcW w:w="664" w:type="pct"/>
            <w:tcBorders>
              <w:bottom w:val="single" w:sz="4" w:space="0" w:color="auto"/>
            </w:tcBorders>
            <w:vAlign w:val="center"/>
          </w:tcPr>
          <w:p w14:paraId="5B3298DF"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773</w:t>
            </w:r>
          </w:p>
        </w:tc>
        <w:tc>
          <w:tcPr>
            <w:tcW w:w="664" w:type="pct"/>
            <w:tcBorders>
              <w:bottom w:val="single" w:sz="4" w:space="0" w:color="auto"/>
            </w:tcBorders>
            <w:vAlign w:val="center"/>
          </w:tcPr>
          <w:p w14:paraId="3F1F846B"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890</w:t>
            </w:r>
          </w:p>
        </w:tc>
        <w:tc>
          <w:tcPr>
            <w:tcW w:w="637" w:type="pct"/>
            <w:tcBorders>
              <w:bottom w:val="single" w:sz="4" w:space="0" w:color="auto"/>
            </w:tcBorders>
            <w:vAlign w:val="center"/>
          </w:tcPr>
          <w:p w14:paraId="3727DBCE"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1.39</w:t>
            </w:r>
          </w:p>
        </w:tc>
        <w:tc>
          <w:tcPr>
            <w:tcW w:w="716" w:type="pct"/>
            <w:tcBorders>
              <w:bottom w:val="single" w:sz="4" w:space="0" w:color="auto"/>
            </w:tcBorders>
            <w:vAlign w:val="center"/>
          </w:tcPr>
          <w:p w14:paraId="0F284D00"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-5.46</w:t>
            </w:r>
          </w:p>
        </w:tc>
        <w:tc>
          <w:tcPr>
            <w:tcW w:w="680" w:type="pct"/>
            <w:tcBorders>
              <w:bottom w:val="single" w:sz="4" w:space="0" w:color="auto"/>
            </w:tcBorders>
            <w:vAlign w:val="center"/>
          </w:tcPr>
          <w:p w14:paraId="181EA057" w14:textId="77777777" w:rsidR="00930A08" w:rsidRPr="008E70F5" w:rsidRDefault="00930A08" w:rsidP="00294642">
            <w:pPr>
              <w:pBdr>
                <w:top w:val="single" w:sz="4" w:space="4" w:color="FFFFFF"/>
                <w:left w:val="single" w:sz="4" w:space="4" w:color="FFFFFF"/>
                <w:bottom w:val="single" w:sz="4" w:space="4" w:color="FFFFFF"/>
                <w:right w:val="single" w:sz="4" w:space="4" w:color="FFFFFF"/>
              </w:pBdr>
              <w:jc w:val="center"/>
              <w:rPr>
                <w:szCs w:val="21"/>
              </w:rPr>
            </w:pPr>
            <w:r w:rsidRPr="008E70F5">
              <w:rPr>
                <w:szCs w:val="21"/>
              </w:rPr>
              <w:t>-3.99</w:t>
            </w:r>
          </w:p>
        </w:tc>
      </w:tr>
    </w:tbl>
    <w:p w14:paraId="64A2CE3C" w14:textId="77777777" w:rsidR="00930A08" w:rsidRPr="00F8379E" w:rsidRDefault="00930A08" w:rsidP="00930A08">
      <w:pPr>
        <w:rPr>
          <w:rFonts w:eastAsia="Times New Roman"/>
          <w:kern w:val="2"/>
          <w:lang w:eastAsia="zh-CN"/>
        </w:rPr>
      </w:pPr>
      <w:r w:rsidRPr="00F8379E">
        <w:rPr>
          <w:rFonts w:eastAsia="Times New Roman"/>
          <w:kern w:val="2"/>
          <w:vertAlign w:val="superscript"/>
          <w:lang w:eastAsia="zh-CN"/>
        </w:rPr>
        <w:t>a)</w:t>
      </w:r>
      <w:r w:rsidRPr="00F8379E">
        <w:rPr>
          <w:rFonts w:eastAsia="Times New Roman"/>
          <w:kern w:val="2"/>
          <w:lang w:eastAsia="zh-CN"/>
        </w:rPr>
        <w:t xml:space="preserve"> In dilute chloroform solution; </w:t>
      </w:r>
      <w:r w:rsidRPr="00F8379E">
        <w:rPr>
          <w:rFonts w:eastAsia="Times New Roman"/>
          <w:kern w:val="2"/>
          <w:vertAlign w:val="superscript"/>
          <w:lang w:eastAsia="zh-CN"/>
        </w:rPr>
        <w:t>b)</w:t>
      </w:r>
      <w:r w:rsidRPr="00F8379E">
        <w:rPr>
          <w:rFonts w:eastAsia="Times New Roman"/>
          <w:kern w:val="2"/>
          <w:lang w:eastAsia="zh-CN"/>
        </w:rPr>
        <w:t xml:space="preserve"> As thin film.</w:t>
      </w:r>
    </w:p>
    <w:p w14:paraId="7F7CC663" w14:textId="77777777" w:rsidR="00930A08" w:rsidRDefault="00930A08">
      <w:pPr>
        <w:rPr>
          <w:rFonts w:eastAsiaTheme="minorEastAsia"/>
          <w:b/>
          <w:sz w:val="28"/>
          <w:szCs w:val="28"/>
          <w:lang w:eastAsia="zh-CN"/>
        </w:rPr>
      </w:pPr>
    </w:p>
    <w:p w14:paraId="559FA896" w14:textId="4B42818C" w:rsidR="00930A08" w:rsidRPr="00073B0F" w:rsidRDefault="00930A08" w:rsidP="00930A08">
      <w:pPr>
        <w:spacing w:beforeLines="100" w:before="240" w:after="100" w:line="360" w:lineRule="auto"/>
        <w:rPr>
          <w:rFonts w:eastAsiaTheme="minorEastAsia" w:hint="eastAsia"/>
          <w:lang w:eastAsia="zh-CN"/>
        </w:rPr>
      </w:pPr>
      <w:bookmarkStart w:id="15" w:name="_Hlk205385238"/>
      <w:r>
        <w:rPr>
          <w:b/>
          <w:bCs/>
        </w:rPr>
        <w:t>Table 2</w:t>
      </w:r>
      <w:r>
        <w:t xml:space="preserve"> </w:t>
      </w:r>
      <w:r w:rsidRPr="00F8379E">
        <w:t xml:space="preserve">Photovoltaic parameters of devices based on </w:t>
      </w:r>
      <w:r w:rsidRPr="00F8379E">
        <w:rPr>
          <w:b/>
          <w:bCs/>
        </w:rPr>
        <w:t>TT-Ph-C6</w:t>
      </w:r>
      <w:r w:rsidRPr="00F8379E">
        <w:t xml:space="preserve"> and 2BTh-2F</w:t>
      </w:r>
      <w:bookmarkEnd w:id="15"/>
    </w:p>
    <w:tbl>
      <w:tblPr>
        <w:tblW w:w="5000" w:type="pct"/>
        <w:tblLook w:val="04A0" w:firstRow="1" w:lastRow="0" w:firstColumn="1" w:lastColumn="0" w:noHBand="0" w:noVBand="1"/>
      </w:tblPr>
      <w:tblGrid>
        <w:gridCol w:w="2265"/>
        <w:gridCol w:w="1315"/>
        <w:gridCol w:w="1807"/>
        <w:gridCol w:w="1277"/>
        <w:gridCol w:w="425"/>
        <w:gridCol w:w="1983"/>
      </w:tblGrid>
      <w:tr w:rsidR="00930A08" w14:paraId="3398BE48" w14:textId="77777777" w:rsidTr="00294642">
        <w:trPr>
          <w:trHeight w:val="368"/>
        </w:trPr>
        <w:tc>
          <w:tcPr>
            <w:tcW w:w="1248" w:type="pct"/>
            <w:tcBorders>
              <w:top w:val="single" w:sz="8" w:space="0" w:color="auto"/>
              <w:bottom w:val="single" w:sz="12" w:space="0" w:color="auto"/>
            </w:tcBorders>
          </w:tcPr>
          <w:p w14:paraId="69136578" w14:textId="77777777" w:rsidR="00930A08" w:rsidRDefault="00930A08" w:rsidP="00294642">
            <w:pPr>
              <w:rPr>
                <w:szCs w:val="21"/>
              </w:rPr>
            </w:pPr>
            <w:bookmarkStart w:id="16" w:name="_Hlk199883825"/>
            <w:r w:rsidRPr="00F8379E">
              <w:rPr>
                <w:szCs w:val="21"/>
              </w:rPr>
              <w:t>Active layer</w:t>
            </w:r>
          </w:p>
        </w:tc>
        <w:tc>
          <w:tcPr>
            <w:tcW w:w="725" w:type="pct"/>
            <w:tcBorders>
              <w:top w:val="single" w:sz="8" w:space="0" w:color="auto"/>
              <w:bottom w:val="single" w:sz="12" w:space="0" w:color="auto"/>
            </w:tcBorders>
          </w:tcPr>
          <w:p w14:paraId="2828AAC6" w14:textId="77777777" w:rsidR="00930A08" w:rsidRDefault="00930A08" w:rsidP="00294642">
            <w:pPr>
              <w:rPr>
                <w:szCs w:val="21"/>
              </w:rPr>
            </w:pPr>
            <w:r>
              <w:rPr>
                <w:i/>
                <w:iCs/>
                <w:szCs w:val="21"/>
              </w:rPr>
              <w:t>V</w:t>
            </w:r>
            <w:r>
              <w:rPr>
                <w:szCs w:val="21"/>
                <w:vertAlign w:val="subscript"/>
              </w:rPr>
              <w:t>OC</w:t>
            </w:r>
            <w:r>
              <w:rPr>
                <w:szCs w:val="21"/>
              </w:rPr>
              <w:t xml:space="preserve"> (V)</w:t>
            </w:r>
          </w:p>
        </w:tc>
        <w:tc>
          <w:tcPr>
            <w:tcW w:w="996" w:type="pct"/>
            <w:tcBorders>
              <w:top w:val="single" w:sz="8" w:space="0" w:color="auto"/>
              <w:bottom w:val="single" w:sz="12" w:space="0" w:color="auto"/>
            </w:tcBorders>
          </w:tcPr>
          <w:p w14:paraId="3B2C4346" w14:textId="77777777" w:rsidR="00930A08" w:rsidRDefault="00930A08" w:rsidP="00294642">
            <w:pPr>
              <w:rPr>
                <w:szCs w:val="21"/>
              </w:rPr>
            </w:pPr>
            <w:r>
              <w:rPr>
                <w:i/>
                <w:iCs/>
                <w:szCs w:val="21"/>
              </w:rPr>
              <w:t>J</w:t>
            </w:r>
            <w:r>
              <w:rPr>
                <w:szCs w:val="21"/>
                <w:vertAlign w:val="subscript"/>
              </w:rPr>
              <w:t xml:space="preserve">SC </w:t>
            </w:r>
            <w:r>
              <w:rPr>
                <w:szCs w:val="21"/>
              </w:rPr>
              <w:t>(mAcm</w:t>
            </w:r>
            <w:r>
              <w:rPr>
                <w:szCs w:val="21"/>
                <w:vertAlign w:val="superscript"/>
              </w:rPr>
              <w:t>−2</w:t>
            </w:r>
            <w:r>
              <w:rPr>
                <w:szCs w:val="21"/>
              </w:rPr>
              <w:t>)</w:t>
            </w:r>
          </w:p>
        </w:tc>
        <w:tc>
          <w:tcPr>
            <w:tcW w:w="938" w:type="pct"/>
            <w:gridSpan w:val="2"/>
            <w:tcBorders>
              <w:top w:val="single" w:sz="8" w:space="0" w:color="auto"/>
              <w:bottom w:val="single" w:sz="12" w:space="0" w:color="auto"/>
            </w:tcBorders>
          </w:tcPr>
          <w:p w14:paraId="2C1DAA00" w14:textId="77777777" w:rsidR="00930A08" w:rsidRDefault="00930A08" w:rsidP="00294642">
            <w:pPr>
              <w:rPr>
                <w:szCs w:val="21"/>
              </w:rPr>
            </w:pPr>
            <w:r>
              <w:rPr>
                <w:i/>
                <w:iCs/>
                <w:szCs w:val="21"/>
              </w:rPr>
              <w:t>FF</w:t>
            </w:r>
            <w:r>
              <w:rPr>
                <w:szCs w:val="21"/>
              </w:rPr>
              <w:t xml:space="preserve"> (%)</w:t>
            </w:r>
          </w:p>
        </w:tc>
        <w:tc>
          <w:tcPr>
            <w:tcW w:w="1093" w:type="pct"/>
            <w:tcBorders>
              <w:top w:val="single" w:sz="8" w:space="0" w:color="auto"/>
              <w:bottom w:val="single" w:sz="12" w:space="0" w:color="auto"/>
            </w:tcBorders>
          </w:tcPr>
          <w:p w14:paraId="090F861D" w14:textId="77777777" w:rsidR="00930A08" w:rsidRDefault="00930A08" w:rsidP="00294642">
            <w:pPr>
              <w:rPr>
                <w:szCs w:val="21"/>
              </w:rPr>
            </w:pPr>
            <w:r>
              <w:rPr>
                <w:i/>
                <w:iCs/>
                <w:szCs w:val="21"/>
              </w:rPr>
              <w:t>PCE</w:t>
            </w:r>
            <w:r>
              <w:rPr>
                <w:szCs w:val="21"/>
              </w:rPr>
              <w:t xml:space="preserve"> (%)</w:t>
            </w:r>
          </w:p>
        </w:tc>
      </w:tr>
      <w:bookmarkEnd w:id="16"/>
      <w:tr w:rsidR="00930A08" w:rsidRPr="00073B0F" w14:paraId="2A53D53C" w14:textId="77777777" w:rsidTr="00294642">
        <w:trPr>
          <w:trHeight w:val="368"/>
        </w:trPr>
        <w:tc>
          <w:tcPr>
            <w:tcW w:w="1248" w:type="pct"/>
            <w:tcBorders>
              <w:top w:val="single" w:sz="12" w:space="0" w:color="auto"/>
            </w:tcBorders>
          </w:tcPr>
          <w:p w14:paraId="05C8AF65" w14:textId="77777777" w:rsidR="00930A08" w:rsidRDefault="00930A08" w:rsidP="00294642">
            <w:pPr>
              <w:rPr>
                <w:szCs w:val="21"/>
              </w:rPr>
            </w:pPr>
            <w:r w:rsidRPr="0097762A">
              <w:t>D18:</w:t>
            </w:r>
            <w:r w:rsidRPr="00F8379E">
              <w:rPr>
                <w:b/>
                <w:bCs/>
              </w:rPr>
              <w:t>TT-Ph-C6</w:t>
            </w:r>
          </w:p>
        </w:tc>
        <w:tc>
          <w:tcPr>
            <w:tcW w:w="725" w:type="pct"/>
            <w:tcBorders>
              <w:top w:val="single" w:sz="12" w:space="0" w:color="auto"/>
            </w:tcBorders>
          </w:tcPr>
          <w:p w14:paraId="7EFD63FE" w14:textId="77777777" w:rsidR="00930A08" w:rsidRDefault="00930A08" w:rsidP="00294642">
            <w:pPr>
              <w:rPr>
                <w:szCs w:val="21"/>
              </w:rPr>
            </w:pPr>
            <w:r w:rsidRPr="0097762A">
              <w:t>0.90</w:t>
            </w:r>
          </w:p>
        </w:tc>
        <w:tc>
          <w:tcPr>
            <w:tcW w:w="996" w:type="pct"/>
            <w:tcBorders>
              <w:top w:val="single" w:sz="12" w:space="0" w:color="auto"/>
            </w:tcBorders>
          </w:tcPr>
          <w:p w14:paraId="59F21137" w14:textId="77777777" w:rsidR="00930A08" w:rsidRDefault="00930A08" w:rsidP="00294642">
            <w:pPr>
              <w:rPr>
                <w:szCs w:val="21"/>
              </w:rPr>
            </w:pPr>
            <w:r w:rsidRPr="0097762A">
              <w:t xml:space="preserve">24.96 </w:t>
            </w:r>
          </w:p>
        </w:tc>
        <w:tc>
          <w:tcPr>
            <w:tcW w:w="704" w:type="pct"/>
            <w:tcBorders>
              <w:top w:val="single" w:sz="12" w:space="0" w:color="auto"/>
            </w:tcBorders>
          </w:tcPr>
          <w:p w14:paraId="368B5441" w14:textId="77777777" w:rsidR="00930A08" w:rsidRPr="00073B0F" w:rsidRDefault="00930A08" w:rsidP="00294642">
            <w:pPr>
              <w:rPr>
                <w:szCs w:val="21"/>
              </w:rPr>
            </w:pPr>
            <w:r w:rsidRPr="00073B0F">
              <w:t>80.10</w:t>
            </w:r>
          </w:p>
        </w:tc>
        <w:tc>
          <w:tcPr>
            <w:tcW w:w="1327" w:type="pct"/>
            <w:gridSpan w:val="2"/>
            <w:tcBorders>
              <w:top w:val="single" w:sz="12" w:space="0" w:color="auto"/>
            </w:tcBorders>
          </w:tcPr>
          <w:p w14:paraId="1A2C2353" w14:textId="77777777" w:rsidR="00930A08" w:rsidRPr="00073B0F" w:rsidRDefault="00930A08" w:rsidP="00294642">
            <w:pPr>
              <w:rPr>
                <w:szCs w:val="21"/>
              </w:rPr>
            </w:pPr>
            <w:r w:rsidRPr="00073B0F">
              <w:t>18.01 (17.75</w:t>
            </w:r>
            <w:r w:rsidRPr="00073B0F">
              <w:rPr>
                <w:rFonts w:hint="eastAsia"/>
              </w:rPr>
              <w:t>±</w:t>
            </w:r>
            <w:r w:rsidRPr="00073B0F">
              <w:t>0.15)</w:t>
            </w:r>
            <w:r w:rsidRPr="00073B0F">
              <w:rPr>
                <w:vertAlign w:val="superscript"/>
              </w:rPr>
              <w:t>a</w:t>
            </w:r>
          </w:p>
        </w:tc>
      </w:tr>
      <w:tr w:rsidR="00930A08" w:rsidRPr="00073B0F" w14:paraId="36C1770D" w14:textId="77777777" w:rsidTr="00294642">
        <w:trPr>
          <w:trHeight w:val="368"/>
        </w:trPr>
        <w:tc>
          <w:tcPr>
            <w:tcW w:w="1248" w:type="pct"/>
            <w:tcBorders>
              <w:bottom w:val="single" w:sz="8" w:space="0" w:color="auto"/>
            </w:tcBorders>
          </w:tcPr>
          <w:p w14:paraId="6D282D78" w14:textId="77777777" w:rsidR="00930A08" w:rsidRDefault="00930A08" w:rsidP="00294642">
            <w:pPr>
              <w:rPr>
                <w:szCs w:val="21"/>
              </w:rPr>
            </w:pPr>
            <w:r w:rsidRPr="00F8379E">
              <w:rPr>
                <w:szCs w:val="21"/>
              </w:rPr>
              <w:t>D18:2BTh-2F</w:t>
            </w:r>
          </w:p>
        </w:tc>
        <w:tc>
          <w:tcPr>
            <w:tcW w:w="725" w:type="pct"/>
            <w:tcBorders>
              <w:bottom w:val="single" w:sz="8" w:space="0" w:color="auto"/>
            </w:tcBorders>
          </w:tcPr>
          <w:p w14:paraId="39654A28" w14:textId="77777777" w:rsidR="00930A08" w:rsidRDefault="00930A08" w:rsidP="00294642">
            <w:pPr>
              <w:rPr>
                <w:szCs w:val="21"/>
              </w:rPr>
            </w:pPr>
            <w:r w:rsidRPr="0097762A">
              <w:t>0.91</w:t>
            </w:r>
          </w:p>
        </w:tc>
        <w:tc>
          <w:tcPr>
            <w:tcW w:w="996" w:type="pct"/>
            <w:tcBorders>
              <w:bottom w:val="single" w:sz="8" w:space="0" w:color="auto"/>
            </w:tcBorders>
          </w:tcPr>
          <w:p w14:paraId="7DDABA38" w14:textId="77777777" w:rsidR="00930A08" w:rsidRDefault="00930A08" w:rsidP="00294642">
            <w:pPr>
              <w:rPr>
                <w:szCs w:val="21"/>
              </w:rPr>
            </w:pPr>
            <w:r w:rsidRPr="0097762A">
              <w:t>24.14</w:t>
            </w:r>
          </w:p>
        </w:tc>
        <w:tc>
          <w:tcPr>
            <w:tcW w:w="704" w:type="pct"/>
            <w:tcBorders>
              <w:bottom w:val="single" w:sz="8" w:space="0" w:color="auto"/>
            </w:tcBorders>
          </w:tcPr>
          <w:p w14:paraId="4B26E071" w14:textId="77777777" w:rsidR="00930A08" w:rsidRPr="00073B0F" w:rsidRDefault="00930A08" w:rsidP="00294642">
            <w:pPr>
              <w:rPr>
                <w:szCs w:val="21"/>
              </w:rPr>
            </w:pPr>
            <w:r w:rsidRPr="00073B0F">
              <w:t>75.90</w:t>
            </w:r>
          </w:p>
        </w:tc>
        <w:tc>
          <w:tcPr>
            <w:tcW w:w="1327" w:type="pct"/>
            <w:gridSpan w:val="2"/>
            <w:tcBorders>
              <w:bottom w:val="single" w:sz="8" w:space="0" w:color="auto"/>
            </w:tcBorders>
          </w:tcPr>
          <w:p w14:paraId="2D7D30AF" w14:textId="77777777" w:rsidR="00930A08" w:rsidRPr="00073B0F" w:rsidRDefault="00930A08" w:rsidP="00294642">
            <w:pPr>
              <w:rPr>
                <w:szCs w:val="21"/>
              </w:rPr>
            </w:pPr>
            <w:r w:rsidRPr="00073B0F">
              <w:t>16.78 (16.38</w:t>
            </w:r>
            <w:r w:rsidRPr="00073B0F">
              <w:rPr>
                <w:rFonts w:hint="eastAsia"/>
              </w:rPr>
              <w:t>±</w:t>
            </w:r>
            <w:r w:rsidRPr="00073B0F">
              <w:t>0.31)</w:t>
            </w:r>
            <w:r w:rsidRPr="00073B0F">
              <w:rPr>
                <w:vertAlign w:val="superscript"/>
              </w:rPr>
              <w:t>a</w:t>
            </w:r>
          </w:p>
        </w:tc>
      </w:tr>
    </w:tbl>
    <w:p w14:paraId="37010085" w14:textId="77777777" w:rsidR="00930A08" w:rsidRDefault="00930A08" w:rsidP="00930A08">
      <w:pPr>
        <w:spacing w:afterLines="100" w:after="240" w:line="360" w:lineRule="auto"/>
      </w:pPr>
      <w:r w:rsidRPr="00F8379E">
        <w:rPr>
          <w:vertAlign w:val="superscript"/>
        </w:rPr>
        <w:t>a</w:t>
      </w:r>
      <w:r w:rsidRPr="00F8379E">
        <w:t xml:space="preserve"> Average PCE of 10 device.</w:t>
      </w:r>
    </w:p>
    <w:p w14:paraId="59D40FDB" w14:textId="007FC2C3" w:rsidR="00930A08" w:rsidRPr="00073B0F" w:rsidRDefault="00930A08" w:rsidP="00930A08">
      <w:pPr>
        <w:spacing w:beforeLines="100" w:before="240" w:after="100" w:line="360" w:lineRule="auto"/>
        <w:rPr>
          <w:rFonts w:eastAsiaTheme="minorEastAsia" w:hint="eastAsia"/>
          <w:lang w:eastAsia="zh-CN"/>
        </w:rPr>
      </w:pPr>
      <w:bookmarkStart w:id="17" w:name="_Hlk205385271"/>
      <w:r w:rsidRPr="00C57BCB">
        <w:rPr>
          <w:b/>
          <w:bCs/>
        </w:rPr>
        <w:t xml:space="preserve">Table 3 </w:t>
      </w:r>
      <w:r w:rsidRPr="00C57BCB">
        <w:t xml:space="preserve">Photovoltaic parameters of devices based on </w:t>
      </w:r>
      <w:r w:rsidRPr="00480CCD">
        <w:rPr>
          <w:b/>
          <w:bCs/>
        </w:rPr>
        <w:t>TT-Ph-C6</w:t>
      </w:r>
      <w:r w:rsidRPr="00C57BCB">
        <w:t xml:space="preserve"> and 2BTh-2F with different film thicknesses</w:t>
      </w:r>
      <w:bookmarkEnd w:id="17"/>
    </w:p>
    <w:tbl>
      <w:tblPr>
        <w:tblStyle w:val="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8"/>
        <w:gridCol w:w="1239"/>
        <w:gridCol w:w="1704"/>
        <w:gridCol w:w="1083"/>
        <w:gridCol w:w="154"/>
        <w:gridCol w:w="1239"/>
        <w:gridCol w:w="463"/>
        <w:gridCol w:w="1332"/>
      </w:tblGrid>
      <w:tr w:rsidR="00930A08" w:rsidRPr="009C4AE1" w14:paraId="474C494E" w14:textId="77777777" w:rsidTr="00294642">
        <w:trPr>
          <w:trHeight w:val="389"/>
        </w:trPr>
        <w:tc>
          <w:tcPr>
            <w:tcW w:w="1024" w:type="pct"/>
            <w:tcBorders>
              <w:top w:val="single" w:sz="8" w:space="0" w:color="auto"/>
              <w:bottom w:val="single" w:sz="12" w:space="0" w:color="auto"/>
            </w:tcBorders>
          </w:tcPr>
          <w:p w14:paraId="377128BD"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hAnsi="Times New Roman" w:cs="Times New Roman"/>
                <w:sz w:val="24"/>
              </w:rPr>
              <w:t>Active layer</w:t>
            </w:r>
          </w:p>
        </w:tc>
        <w:tc>
          <w:tcPr>
            <w:tcW w:w="683" w:type="pct"/>
            <w:tcBorders>
              <w:top w:val="single" w:sz="8" w:space="0" w:color="auto"/>
              <w:bottom w:val="single" w:sz="12" w:space="0" w:color="auto"/>
            </w:tcBorders>
          </w:tcPr>
          <w:p w14:paraId="0B34AEE2"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hAnsi="Times New Roman" w:cs="Times New Roman"/>
                <w:i/>
                <w:iCs/>
                <w:sz w:val="24"/>
              </w:rPr>
              <w:t>V</w:t>
            </w:r>
            <w:r w:rsidRPr="00C57BCB">
              <w:rPr>
                <w:rFonts w:ascii="Times New Roman" w:hAnsi="Times New Roman" w:cs="Times New Roman"/>
                <w:sz w:val="24"/>
                <w:vertAlign w:val="subscript"/>
              </w:rPr>
              <w:t>OC</w:t>
            </w:r>
            <w:r w:rsidRPr="00C57BCB">
              <w:rPr>
                <w:rFonts w:ascii="Times New Roman" w:hAnsi="Times New Roman" w:cs="Times New Roman"/>
                <w:sz w:val="24"/>
              </w:rPr>
              <w:t xml:space="preserve"> (V)</w:t>
            </w:r>
          </w:p>
        </w:tc>
        <w:tc>
          <w:tcPr>
            <w:tcW w:w="939" w:type="pct"/>
            <w:tcBorders>
              <w:top w:val="single" w:sz="8" w:space="0" w:color="auto"/>
              <w:bottom w:val="single" w:sz="12" w:space="0" w:color="auto"/>
            </w:tcBorders>
          </w:tcPr>
          <w:p w14:paraId="7F25CDDE"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hAnsi="Times New Roman" w:cs="Times New Roman"/>
                <w:i/>
                <w:iCs/>
                <w:sz w:val="24"/>
              </w:rPr>
              <w:t>J</w:t>
            </w:r>
            <w:r w:rsidRPr="00C57BCB">
              <w:rPr>
                <w:rFonts w:ascii="Times New Roman" w:hAnsi="Times New Roman" w:cs="Times New Roman"/>
                <w:sz w:val="24"/>
                <w:vertAlign w:val="subscript"/>
              </w:rPr>
              <w:t xml:space="preserve">SC </w:t>
            </w:r>
            <w:r w:rsidRPr="00C57BCB">
              <w:rPr>
                <w:rFonts w:ascii="Times New Roman" w:hAnsi="Times New Roman" w:cs="Times New Roman"/>
                <w:sz w:val="24"/>
              </w:rPr>
              <w:t>(mAcm</w:t>
            </w:r>
            <w:r w:rsidRPr="00C57BCB">
              <w:rPr>
                <w:rFonts w:ascii="Times New Roman" w:hAnsi="Times New Roman" w:cs="Times New Roman"/>
                <w:sz w:val="24"/>
                <w:vertAlign w:val="superscript"/>
              </w:rPr>
              <w:t>−2</w:t>
            </w:r>
            <w:r w:rsidRPr="00C57BCB">
              <w:rPr>
                <w:rFonts w:ascii="Times New Roman" w:hAnsi="Times New Roman" w:cs="Times New Roman"/>
                <w:sz w:val="24"/>
              </w:rPr>
              <w:t>)</w:t>
            </w:r>
          </w:p>
        </w:tc>
        <w:tc>
          <w:tcPr>
            <w:tcW w:w="597" w:type="pct"/>
            <w:tcBorders>
              <w:top w:val="single" w:sz="8" w:space="0" w:color="auto"/>
              <w:bottom w:val="single" w:sz="12" w:space="0" w:color="auto"/>
            </w:tcBorders>
          </w:tcPr>
          <w:p w14:paraId="6857BF92"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hAnsi="Times New Roman" w:cs="Times New Roman"/>
                <w:i/>
                <w:iCs/>
                <w:sz w:val="24"/>
              </w:rPr>
              <w:t>FF</w:t>
            </w:r>
            <w:r w:rsidRPr="00C57BCB">
              <w:rPr>
                <w:rFonts w:ascii="Times New Roman" w:hAnsi="Times New Roman" w:cs="Times New Roman"/>
                <w:sz w:val="24"/>
              </w:rPr>
              <w:t xml:space="preserve"> (%)</w:t>
            </w:r>
          </w:p>
        </w:tc>
        <w:tc>
          <w:tcPr>
            <w:tcW w:w="768" w:type="pct"/>
            <w:gridSpan w:val="2"/>
            <w:tcBorders>
              <w:top w:val="single" w:sz="8" w:space="0" w:color="auto"/>
              <w:bottom w:val="single" w:sz="12" w:space="0" w:color="auto"/>
            </w:tcBorders>
          </w:tcPr>
          <w:p w14:paraId="095D430C"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hAnsi="Times New Roman" w:cs="Times New Roman"/>
                <w:i/>
                <w:iCs/>
                <w:sz w:val="24"/>
              </w:rPr>
              <w:t>PCE</w:t>
            </w:r>
            <w:r w:rsidRPr="00C57BCB">
              <w:rPr>
                <w:rFonts w:ascii="Times New Roman" w:hAnsi="Times New Roman" w:cs="Times New Roman"/>
                <w:sz w:val="24"/>
              </w:rPr>
              <w:t xml:space="preserve"> (%)</w:t>
            </w:r>
          </w:p>
        </w:tc>
        <w:tc>
          <w:tcPr>
            <w:tcW w:w="989" w:type="pct"/>
            <w:gridSpan w:val="2"/>
            <w:tcBorders>
              <w:top w:val="single" w:sz="8" w:space="0" w:color="auto"/>
              <w:bottom w:val="single" w:sz="12" w:space="0" w:color="auto"/>
            </w:tcBorders>
          </w:tcPr>
          <w:p w14:paraId="59E1D243"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i/>
                <w:iCs/>
                <w:sz w:val="24"/>
                <w:lang w:val="de-DE"/>
              </w:rPr>
              <w:t>Thickness</w:t>
            </w:r>
            <w:r w:rsidRPr="00C57BCB">
              <w:rPr>
                <w:rFonts w:ascii="Times New Roman" w:eastAsiaTheme="minorEastAsia" w:hAnsi="Times New Roman" w:cs="Times New Roman"/>
                <w:bCs/>
                <w:sz w:val="24"/>
                <w:lang w:val="de-DE"/>
              </w:rPr>
              <w:t xml:space="preserve"> </w:t>
            </w:r>
            <w:r>
              <w:rPr>
                <w:rFonts w:ascii="Times New Roman" w:eastAsiaTheme="minorEastAsia" w:hAnsi="Times New Roman" w:cs="Times New Roman"/>
                <w:bCs/>
                <w:sz w:val="24"/>
                <w:lang w:val="de-DE"/>
              </w:rPr>
              <w:t>(</w:t>
            </w:r>
            <w:r w:rsidRPr="00C57BCB">
              <w:rPr>
                <w:rFonts w:ascii="Times New Roman" w:eastAsiaTheme="minorEastAsia" w:hAnsi="Times New Roman" w:cs="Times New Roman"/>
                <w:bCs/>
                <w:sz w:val="24"/>
                <w:lang w:val="de-DE"/>
              </w:rPr>
              <w:t>nm</w:t>
            </w:r>
            <w:r>
              <w:rPr>
                <w:rFonts w:ascii="Times New Roman" w:eastAsiaTheme="minorEastAsia" w:hAnsi="Times New Roman" w:cs="Times New Roman"/>
                <w:bCs/>
                <w:sz w:val="24"/>
                <w:lang w:val="de-DE"/>
              </w:rPr>
              <w:t>)</w:t>
            </w:r>
          </w:p>
        </w:tc>
      </w:tr>
      <w:tr w:rsidR="00930A08" w:rsidRPr="009C4AE1" w14:paraId="4E9AAF58" w14:textId="77777777" w:rsidTr="00294642">
        <w:tc>
          <w:tcPr>
            <w:tcW w:w="1024" w:type="pct"/>
            <w:tcBorders>
              <w:top w:val="single" w:sz="4" w:space="0" w:color="auto"/>
            </w:tcBorders>
          </w:tcPr>
          <w:p w14:paraId="54A4FD91" w14:textId="77777777" w:rsidR="00930A08" w:rsidRPr="00C57BCB" w:rsidRDefault="00930A08" w:rsidP="00294642">
            <w:pPr>
              <w:pStyle w:val="Body"/>
              <w:spacing w:after="0" w:line="240" w:lineRule="auto"/>
              <w:rPr>
                <w:rFonts w:ascii="Times New Roman" w:eastAsiaTheme="minorEastAsia" w:hAnsi="Times New Roman" w:cs="Times New Roman"/>
                <w:b/>
                <w:sz w:val="24"/>
                <w:lang w:val="de-DE"/>
              </w:rPr>
            </w:pPr>
            <w:r w:rsidRPr="00C57BCB">
              <w:rPr>
                <w:rFonts w:ascii="Times New Roman" w:eastAsiaTheme="minorEastAsia" w:hAnsi="Times New Roman" w:cs="Times New Roman"/>
                <w:bCs/>
                <w:sz w:val="24"/>
                <w:lang w:val="de-DE"/>
              </w:rPr>
              <w:t>D18:</w:t>
            </w:r>
            <w:r w:rsidRPr="00C57BCB">
              <w:rPr>
                <w:rFonts w:ascii="Times New Roman" w:eastAsiaTheme="minorEastAsia" w:hAnsi="Times New Roman" w:cs="Times New Roman"/>
                <w:b/>
                <w:sz w:val="24"/>
                <w:lang w:val="de-DE"/>
              </w:rPr>
              <w:t>TT-Ph-C6</w:t>
            </w:r>
          </w:p>
        </w:tc>
        <w:tc>
          <w:tcPr>
            <w:tcW w:w="683" w:type="pct"/>
            <w:tcBorders>
              <w:top w:val="single" w:sz="4" w:space="0" w:color="auto"/>
              <w:left w:val="single" w:sz="8" w:space="0" w:color="FFFFFF"/>
              <w:bottom w:val="single" w:sz="24" w:space="0" w:color="FFFFFF"/>
              <w:right w:val="single" w:sz="8" w:space="0" w:color="FFFFFF"/>
            </w:tcBorders>
          </w:tcPr>
          <w:p w14:paraId="58A08169"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0.87</w:t>
            </w:r>
          </w:p>
        </w:tc>
        <w:tc>
          <w:tcPr>
            <w:tcW w:w="939" w:type="pct"/>
            <w:tcBorders>
              <w:top w:val="single" w:sz="4" w:space="0" w:color="auto"/>
              <w:left w:val="single" w:sz="8" w:space="0" w:color="FFFFFF"/>
              <w:bottom w:val="single" w:sz="24" w:space="0" w:color="FFFFFF"/>
              <w:right w:val="single" w:sz="8" w:space="0" w:color="FFFFFF"/>
            </w:tcBorders>
          </w:tcPr>
          <w:p w14:paraId="20917BE7"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25.03 (24.09)</w:t>
            </w:r>
          </w:p>
        </w:tc>
        <w:tc>
          <w:tcPr>
            <w:tcW w:w="682" w:type="pct"/>
            <w:gridSpan w:val="2"/>
            <w:tcBorders>
              <w:top w:val="single" w:sz="4" w:space="0" w:color="auto"/>
              <w:left w:val="single" w:sz="8" w:space="0" w:color="FFFFFF"/>
              <w:bottom w:val="single" w:sz="24" w:space="0" w:color="FFFFFF"/>
              <w:right w:val="single" w:sz="8" w:space="0" w:color="FFFFFF"/>
            </w:tcBorders>
          </w:tcPr>
          <w:p w14:paraId="084B0FD5"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69.41</w:t>
            </w:r>
          </w:p>
        </w:tc>
        <w:tc>
          <w:tcPr>
            <w:tcW w:w="938" w:type="pct"/>
            <w:gridSpan w:val="2"/>
            <w:tcBorders>
              <w:top w:val="single" w:sz="4" w:space="0" w:color="auto"/>
              <w:left w:val="single" w:sz="8" w:space="0" w:color="FFFFFF"/>
              <w:bottom w:val="single" w:sz="24" w:space="0" w:color="FFFFFF"/>
              <w:right w:val="single" w:sz="8" w:space="0" w:color="FFFFFF"/>
            </w:tcBorders>
          </w:tcPr>
          <w:p w14:paraId="42AB19B9"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15.18</w:t>
            </w:r>
          </w:p>
        </w:tc>
        <w:tc>
          <w:tcPr>
            <w:tcW w:w="734" w:type="pct"/>
            <w:tcBorders>
              <w:top w:val="single" w:sz="4" w:space="0" w:color="auto"/>
            </w:tcBorders>
          </w:tcPr>
          <w:p w14:paraId="3906A2A7"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200</w:t>
            </w:r>
          </w:p>
        </w:tc>
      </w:tr>
      <w:tr w:rsidR="00930A08" w:rsidRPr="009C4AE1" w14:paraId="6F12D265" w14:textId="77777777" w:rsidTr="00294642">
        <w:tc>
          <w:tcPr>
            <w:tcW w:w="1024" w:type="pct"/>
          </w:tcPr>
          <w:p w14:paraId="1F45922C"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p>
        </w:tc>
        <w:tc>
          <w:tcPr>
            <w:tcW w:w="683" w:type="pct"/>
            <w:tcBorders>
              <w:top w:val="single" w:sz="8" w:space="0" w:color="FFFFFF"/>
              <w:left w:val="single" w:sz="8" w:space="0" w:color="FFFFFF"/>
              <w:bottom w:val="single" w:sz="24" w:space="0" w:color="FFFFFF"/>
              <w:right w:val="single" w:sz="8" w:space="0" w:color="FFFFFF"/>
            </w:tcBorders>
          </w:tcPr>
          <w:p w14:paraId="4B05553C"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0.87</w:t>
            </w:r>
          </w:p>
        </w:tc>
        <w:tc>
          <w:tcPr>
            <w:tcW w:w="939" w:type="pct"/>
            <w:tcBorders>
              <w:top w:val="single" w:sz="8" w:space="0" w:color="FFFFFF"/>
              <w:left w:val="single" w:sz="8" w:space="0" w:color="FFFFFF"/>
              <w:bottom w:val="single" w:sz="24" w:space="0" w:color="FFFFFF"/>
              <w:right w:val="single" w:sz="8" w:space="0" w:color="FFFFFF"/>
            </w:tcBorders>
          </w:tcPr>
          <w:p w14:paraId="26A3C1EE"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25.57 (24.36)</w:t>
            </w:r>
          </w:p>
        </w:tc>
        <w:tc>
          <w:tcPr>
            <w:tcW w:w="682" w:type="pct"/>
            <w:gridSpan w:val="2"/>
            <w:tcBorders>
              <w:top w:val="single" w:sz="8" w:space="0" w:color="FFFFFF"/>
              <w:left w:val="single" w:sz="8" w:space="0" w:color="FFFFFF"/>
              <w:bottom w:val="single" w:sz="24" w:space="0" w:color="FFFFFF"/>
              <w:right w:val="single" w:sz="8" w:space="0" w:color="FFFFFF"/>
            </w:tcBorders>
          </w:tcPr>
          <w:p w14:paraId="735386D9"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65.35</w:t>
            </w:r>
          </w:p>
        </w:tc>
        <w:tc>
          <w:tcPr>
            <w:tcW w:w="938" w:type="pct"/>
            <w:gridSpan w:val="2"/>
            <w:tcBorders>
              <w:top w:val="single" w:sz="8" w:space="0" w:color="FFFFFF"/>
              <w:left w:val="single" w:sz="8" w:space="0" w:color="FFFFFF"/>
              <w:bottom w:val="single" w:sz="24" w:space="0" w:color="FFFFFF"/>
              <w:right w:val="single" w:sz="8" w:space="0" w:color="FFFFFF"/>
            </w:tcBorders>
          </w:tcPr>
          <w:p w14:paraId="6669264B"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14.64</w:t>
            </w:r>
          </w:p>
        </w:tc>
        <w:tc>
          <w:tcPr>
            <w:tcW w:w="734" w:type="pct"/>
          </w:tcPr>
          <w:p w14:paraId="6AEF0800"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300</w:t>
            </w:r>
          </w:p>
        </w:tc>
      </w:tr>
      <w:tr w:rsidR="00930A08" w:rsidRPr="009C4AE1" w14:paraId="2FB9F7F5" w14:textId="77777777" w:rsidTr="00294642">
        <w:tc>
          <w:tcPr>
            <w:tcW w:w="1024" w:type="pct"/>
          </w:tcPr>
          <w:p w14:paraId="401E6A32"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D18:2BTh-2F</w:t>
            </w:r>
          </w:p>
        </w:tc>
        <w:tc>
          <w:tcPr>
            <w:tcW w:w="683" w:type="pct"/>
            <w:tcBorders>
              <w:top w:val="single" w:sz="8" w:space="0" w:color="FFFFFF"/>
              <w:left w:val="single" w:sz="8" w:space="0" w:color="FFFFFF"/>
              <w:bottom w:val="single" w:sz="24" w:space="0" w:color="FFFFFF"/>
              <w:right w:val="single" w:sz="8" w:space="0" w:color="FFFFFF"/>
            </w:tcBorders>
          </w:tcPr>
          <w:p w14:paraId="69DCE397"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0.89</w:t>
            </w:r>
          </w:p>
        </w:tc>
        <w:tc>
          <w:tcPr>
            <w:tcW w:w="939" w:type="pct"/>
            <w:tcBorders>
              <w:top w:val="single" w:sz="8" w:space="0" w:color="FFFFFF"/>
              <w:left w:val="single" w:sz="8" w:space="0" w:color="FFFFFF"/>
              <w:bottom w:val="single" w:sz="24" w:space="0" w:color="FFFFFF"/>
              <w:right w:val="single" w:sz="8" w:space="0" w:color="FFFFFF"/>
            </w:tcBorders>
          </w:tcPr>
          <w:p w14:paraId="5A14197B"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22.13 (21.89)</w:t>
            </w:r>
          </w:p>
        </w:tc>
        <w:tc>
          <w:tcPr>
            <w:tcW w:w="682" w:type="pct"/>
            <w:gridSpan w:val="2"/>
            <w:tcBorders>
              <w:top w:val="single" w:sz="8" w:space="0" w:color="FFFFFF"/>
              <w:left w:val="single" w:sz="8" w:space="0" w:color="FFFFFF"/>
              <w:bottom w:val="single" w:sz="24" w:space="0" w:color="FFFFFF"/>
              <w:right w:val="single" w:sz="8" w:space="0" w:color="FFFFFF"/>
            </w:tcBorders>
          </w:tcPr>
          <w:p w14:paraId="502266AA"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62.10</w:t>
            </w:r>
          </w:p>
        </w:tc>
        <w:tc>
          <w:tcPr>
            <w:tcW w:w="938" w:type="pct"/>
            <w:gridSpan w:val="2"/>
            <w:tcBorders>
              <w:top w:val="single" w:sz="8" w:space="0" w:color="FFFFFF"/>
              <w:left w:val="single" w:sz="8" w:space="0" w:color="FFFFFF"/>
              <w:bottom w:val="single" w:sz="24" w:space="0" w:color="FFFFFF"/>
              <w:right w:val="single" w:sz="8" w:space="0" w:color="FFFFFF"/>
            </w:tcBorders>
          </w:tcPr>
          <w:p w14:paraId="52C95F93"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13.20</w:t>
            </w:r>
          </w:p>
        </w:tc>
        <w:tc>
          <w:tcPr>
            <w:tcW w:w="734" w:type="pct"/>
          </w:tcPr>
          <w:p w14:paraId="12645FC0"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200</w:t>
            </w:r>
          </w:p>
        </w:tc>
      </w:tr>
      <w:tr w:rsidR="00930A08" w:rsidRPr="009C4AE1" w14:paraId="36171754" w14:textId="77777777" w:rsidTr="00294642">
        <w:trPr>
          <w:trHeight w:val="368"/>
        </w:trPr>
        <w:tc>
          <w:tcPr>
            <w:tcW w:w="1024" w:type="pct"/>
            <w:tcBorders>
              <w:bottom w:val="single" w:sz="8" w:space="0" w:color="auto"/>
            </w:tcBorders>
          </w:tcPr>
          <w:p w14:paraId="0C6A361E"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p>
        </w:tc>
        <w:tc>
          <w:tcPr>
            <w:tcW w:w="683" w:type="pct"/>
            <w:tcBorders>
              <w:top w:val="single" w:sz="24" w:space="0" w:color="FFFFFF"/>
              <w:left w:val="single" w:sz="8" w:space="0" w:color="FFFFFF"/>
              <w:bottom w:val="single" w:sz="8" w:space="0" w:color="auto"/>
              <w:right w:val="single" w:sz="8" w:space="0" w:color="FFFFFF"/>
            </w:tcBorders>
          </w:tcPr>
          <w:p w14:paraId="61AAD4A5"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0.89</w:t>
            </w:r>
          </w:p>
        </w:tc>
        <w:tc>
          <w:tcPr>
            <w:tcW w:w="939" w:type="pct"/>
            <w:tcBorders>
              <w:top w:val="single" w:sz="24" w:space="0" w:color="FFFFFF"/>
              <w:left w:val="single" w:sz="8" w:space="0" w:color="FFFFFF"/>
              <w:bottom w:val="single" w:sz="8" w:space="0" w:color="auto"/>
              <w:right w:val="single" w:sz="8" w:space="0" w:color="FFFFFF"/>
            </w:tcBorders>
          </w:tcPr>
          <w:p w14:paraId="71AC9D2C"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22.73 (22.48)</w:t>
            </w:r>
          </w:p>
        </w:tc>
        <w:tc>
          <w:tcPr>
            <w:tcW w:w="682" w:type="pct"/>
            <w:gridSpan w:val="2"/>
            <w:tcBorders>
              <w:top w:val="single" w:sz="24" w:space="0" w:color="FFFFFF"/>
              <w:left w:val="single" w:sz="8" w:space="0" w:color="FFFFFF"/>
              <w:bottom w:val="single" w:sz="8" w:space="0" w:color="auto"/>
              <w:right w:val="single" w:sz="8" w:space="0" w:color="FFFFFF"/>
            </w:tcBorders>
          </w:tcPr>
          <w:p w14:paraId="06169C05"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50.90</w:t>
            </w:r>
          </w:p>
        </w:tc>
        <w:tc>
          <w:tcPr>
            <w:tcW w:w="938" w:type="pct"/>
            <w:gridSpan w:val="2"/>
            <w:tcBorders>
              <w:top w:val="single" w:sz="24" w:space="0" w:color="FFFFFF"/>
              <w:left w:val="single" w:sz="8" w:space="0" w:color="FFFFFF"/>
              <w:bottom w:val="single" w:sz="8" w:space="0" w:color="auto"/>
              <w:right w:val="single" w:sz="8" w:space="0" w:color="FFFFFF"/>
            </w:tcBorders>
          </w:tcPr>
          <w:p w14:paraId="2C6C292F"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10.33</w:t>
            </w:r>
          </w:p>
        </w:tc>
        <w:tc>
          <w:tcPr>
            <w:tcW w:w="734" w:type="pct"/>
            <w:tcBorders>
              <w:bottom w:val="single" w:sz="8" w:space="0" w:color="auto"/>
            </w:tcBorders>
          </w:tcPr>
          <w:p w14:paraId="4C74C0D9" w14:textId="77777777" w:rsidR="00930A08" w:rsidRPr="00C57BCB" w:rsidRDefault="00930A08" w:rsidP="00294642">
            <w:pPr>
              <w:pStyle w:val="Body"/>
              <w:spacing w:after="0" w:line="240" w:lineRule="auto"/>
              <w:rPr>
                <w:rFonts w:ascii="Times New Roman" w:eastAsiaTheme="minorEastAsia" w:hAnsi="Times New Roman" w:cs="Times New Roman"/>
                <w:bCs/>
                <w:sz w:val="24"/>
                <w:lang w:val="de-DE"/>
              </w:rPr>
            </w:pPr>
            <w:r w:rsidRPr="00C57BCB">
              <w:rPr>
                <w:rFonts w:ascii="Times New Roman" w:eastAsiaTheme="minorEastAsia" w:hAnsi="Times New Roman" w:cs="Times New Roman"/>
                <w:bCs/>
                <w:sz w:val="24"/>
                <w:lang w:val="de-DE"/>
              </w:rPr>
              <w:t>300</w:t>
            </w:r>
          </w:p>
        </w:tc>
      </w:tr>
    </w:tbl>
    <w:p w14:paraId="2EE6CAD5" w14:textId="77777777" w:rsidR="00930A08" w:rsidRPr="00C57BCB" w:rsidRDefault="00930A08" w:rsidP="00930A08">
      <w:pPr>
        <w:spacing w:afterLines="100" w:after="240" w:line="360" w:lineRule="auto"/>
      </w:pPr>
      <w:r w:rsidRPr="00C57BCB">
        <w:rPr>
          <w:vertAlign w:val="superscript"/>
        </w:rPr>
        <w:t>a</w:t>
      </w:r>
      <w:r w:rsidRPr="00C57BCB">
        <w:t xml:space="preserve"> Integrated from EQE curves.</w:t>
      </w:r>
    </w:p>
    <w:p w14:paraId="03CF3D57" w14:textId="77777777" w:rsidR="00930A08" w:rsidRPr="00930A08" w:rsidRDefault="00930A08">
      <w:pPr>
        <w:rPr>
          <w:rFonts w:eastAsiaTheme="minorEastAsia"/>
          <w:b/>
          <w:sz w:val="28"/>
          <w:szCs w:val="28"/>
          <w:lang w:eastAsia="zh-CN"/>
        </w:rPr>
      </w:pPr>
    </w:p>
    <w:p w14:paraId="416F6AE4" w14:textId="77777777" w:rsidR="00930A08" w:rsidRDefault="00930A08">
      <w:pPr>
        <w:rPr>
          <w:rFonts w:eastAsiaTheme="minorEastAsia"/>
          <w:b/>
          <w:sz w:val="28"/>
          <w:szCs w:val="28"/>
          <w:lang w:eastAsia="zh-CN"/>
        </w:rPr>
      </w:pPr>
    </w:p>
    <w:p w14:paraId="2F74E9F0" w14:textId="77777777" w:rsidR="00930A08" w:rsidRPr="00930A08" w:rsidRDefault="00930A08">
      <w:pPr>
        <w:rPr>
          <w:rFonts w:eastAsiaTheme="minorEastAsia" w:hint="eastAsia"/>
          <w:b/>
          <w:sz w:val="28"/>
          <w:szCs w:val="28"/>
          <w:lang w:eastAsia="zh-CN"/>
        </w:rPr>
      </w:pPr>
    </w:p>
    <w:p w14:paraId="453A90AE" w14:textId="77777777" w:rsidR="00930A08" w:rsidRDefault="00930A08">
      <w:pPr>
        <w:rPr>
          <w:rFonts w:eastAsiaTheme="minorEastAsia"/>
          <w:b/>
          <w:sz w:val="28"/>
          <w:szCs w:val="28"/>
          <w:lang w:eastAsia="zh-CN"/>
        </w:rPr>
      </w:pPr>
    </w:p>
    <w:p w14:paraId="4935902B" w14:textId="77777777" w:rsidR="00930A08" w:rsidRDefault="00930A08">
      <w:pPr>
        <w:rPr>
          <w:rFonts w:eastAsiaTheme="minorEastAsia"/>
          <w:b/>
          <w:sz w:val="28"/>
          <w:szCs w:val="28"/>
          <w:lang w:eastAsia="zh-CN"/>
        </w:rPr>
      </w:pPr>
    </w:p>
    <w:p w14:paraId="06A165E1" w14:textId="77777777" w:rsidR="00C36FCD" w:rsidRDefault="00C36FCD">
      <w:pPr>
        <w:rPr>
          <w:rFonts w:eastAsiaTheme="minorEastAsia"/>
          <w:b/>
          <w:sz w:val="28"/>
          <w:szCs w:val="28"/>
          <w:lang w:eastAsia="zh-CN"/>
        </w:rPr>
      </w:pPr>
      <w:r>
        <w:rPr>
          <w:rFonts w:eastAsiaTheme="minorEastAsia"/>
          <w:b/>
          <w:sz w:val="28"/>
          <w:szCs w:val="28"/>
          <w:lang w:eastAsia="zh-CN"/>
        </w:rPr>
        <w:br w:type="page"/>
      </w:r>
    </w:p>
    <w:p w14:paraId="5DCAA602" w14:textId="7FB2BA48" w:rsidR="00930A08" w:rsidRPr="00591269" w:rsidRDefault="00930A08" w:rsidP="00C36FCD">
      <w:pPr>
        <w:spacing w:beforeLines="100" w:before="240" w:afterLines="100" w:after="240" w:line="360" w:lineRule="auto"/>
        <w:rPr>
          <w:rFonts w:eastAsiaTheme="minorEastAsia"/>
          <w:b/>
          <w:sz w:val="28"/>
          <w:szCs w:val="28"/>
          <w:lang w:eastAsia="zh-CN"/>
        </w:rPr>
      </w:pPr>
      <w:r w:rsidRPr="00591269">
        <w:rPr>
          <w:rFonts w:eastAsiaTheme="minorEastAsia" w:hint="eastAsia"/>
          <w:b/>
          <w:sz w:val="28"/>
          <w:szCs w:val="28"/>
          <w:lang w:eastAsia="zh-CN"/>
        </w:rPr>
        <w:t>Table and Figure Captions</w:t>
      </w:r>
    </w:p>
    <w:p w14:paraId="00372DD2" w14:textId="67E142A6" w:rsidR="00930A08" w:rsidRPr="00591269" w:rsidRDefault="00930A08" w:rsidP="00C36FCD">
      <w:pPr>
        <w:spacing w:beforeLines="100" w:before="240" w:afterLines="100" w:after="240" w:line="360" w:lineRule="auto"/>
        <w:rPr>
          <w:rFonts w:eastAsiaTheme="minorEastAsia"/>
          <w:bCs/>
          <w:lang w:eastAsia="zh-CN"/>
        </w:rPr>
      </w:pPr>
      <w:r w:rsidRPr="00591269">
        <w:rPr>
          <w:rFonts w:eastAsiaTheme="minorEastAsia"/>
          <w:b/>
          <w:bCs/>
          <w:lang w:eastAsia="zh-CN"/>
        </w:rPr>
        <w:t>Table 1</w:t>
      </w:r>
      <w:r w:rsidRPr="00591269">
        <w:rPr>
          <w:rFonts w:eastAsiaTheme="minorEastAsia"/>
          <w:b/>
          <w:lang w:eastAsia="zh-CN"/>
        </w:rPr>
        <w:t xml:space="preserve"> </w:t>
      </w:r>
      <w:r w:rsidRPr="00591269">
        <w:rPr>
          <w:rFonts w:eastAsiaTheme="minorEastAsia"/>
          <w:bCs/>
          <w:lang w:eastAsia="zh-CN"/>
        </w:rPr>
        <w:t>Optical and electronic properties of TT-Ph-C6 and 2BTh-2F</w:t>
      </w:r>
    </w:p>
    <w:p w14:paraId="04E67094" w14:textId="0C756670" w:rsidR="00930A08" w:rsidRDefault="00930A08" w:rsidP="00C36FCD">
      <w:pPr>
        <w:spacing w:beforeLines="100" w:before="240" w:afterLines="100" w:after="240" w:line="360" w:lineRule="auto"/>
        <w:rPr>
          <w:rFonts w:eastAsiaTheme="minorEastAsia"/>
          <w:b/>
          <w:sz w:val="28"/>
          <w:szCs w:val="28"/>
          <w:lang w:eastAsia="zh-CN"/>
        </w:rPr>
      </w:pPr>
      <w:r>
        <w:rPr>
          <w:b/>
          <w:bCs/>
        </w:rPr>
        <w:t>Table 2</w:t>
      </w:r>
      <w:r>
        <w:t xml:space="preserve"> </w:t>
      </w:r>
      <w:r w:rsidRPr="00F8379E">
        <w:t xml:space="preserve">Photovoltaic parameters of devices based on </w:t>
      </w:r>
      <w:r w:rsidRPr="00F8379E">
        <w:rPr>
          <w:b/>
          <w:bCs/>
        </w:rPr>
        <w:t>TT-Ph-C6</w:t>
      </w:r>
      <w:r w:rsidRPr="00F8379E">
        <w:t xml:space="preserve"> and 2BTh-2F</w:t>
      </w:r>
    </w:p>
    <w:p w14:paraId="2AE30A6F" w14:textId="47C6BC50" w:rsidR="00930A08" w:rsidRDefault="00930A08" w:rsidP="00C36FCD">
      <w:pPr>
        <w:spacing w:beforeLines="100" w:before="240" w:afterLines="100" w:after="240" w:line="360" w:lineRule="auto"/>
        <w:rPr>
          <w:rFonts w:eastAsiaTheme="minorEastAsia"/>
          <w:b/>
          <w:sz w:val="28"/>
          <w:szCs w:val="28"/>
          <w:lang w:eastAsia="zh-CN"/>
        </w:rPr>
      </w:pPr>
      <w:r w:rsidRPr="00C57BCB">
        <w:rPr>
          <w:b/>
          <w:bCs/>
        </w:rPr>
        <w:t xml:space="preserve">Table 3 </w:t>
      </w:r>
      <w:r w:rsidRPr="00C57BCB">
        <w:t xml:space="preserve">Photovoltaic parameters of devices based on </w:t>
      </w:r>
      <w:r w:rsidRPr="00480CCD">
        <w:rPr>
          <w:b/>
          <w:bCs/>
        </w:rPr>
        <w:t>TT-Ph-C6</w:t>
      </w:r>
      <w:r w:rsidRPr="00C57BCB">
        <w:t xml:space="preserve"> and 2BTh-2F with different film thicknesses</w:t>
      </w:r>
    </w:p>
    <w:p w14:paraId="1382FDB4" w14:textId="2E331305" w:rsidR="00930A08" w:rsidRDefault="00C36FCD" w:rsidP="00C36FCD">
      <w:pPr>
        <w:spacing w:beforeLines="100" w:before="240" w:afterLines="100" w:after="240" w:line="360" w:lineRule="auto"/>
        <w:rPr>
          <w:rFonts w:eastAsiaTheme="minorEastAsia"/>
          <w:b/>
          <w:sz w:val="28"/>
          <w:szCs w:val="28"/>
          <w:lang w:eastAsia="zh-CN"/>
        </w:rPr>
      </w:pPr>
      <w:r w:rsidRPr="00591269">
        <w:rPr>
          <w:rFonts w:eastAsia="宋体"/>
          <w:b/>
          <w:bCs/>
        </w:rPr>
        <w:t>Scheme 1</w:t>
      </w:r>
      <w:r w:rsidRPr="00B323F6">
        <w:rPr>
          <w:rFonts w:eastAsia="宋体"/>
        </w:rPr>
        <w:t xml:space="preserve"> Chemical structures and synthetic routes of </w:t>
      </w:r>
      <w:r w:rsidRPr="00B323F6">
        <w:rPr>
          <w:rFonts w:eastAsia="宋体"/>
          <w:b/>
          <w:bCs/>
        </w:rPr>
        <w:t>TT-Ph-C6</w:t>
      </w:r>
    </w:p>
    <w:p w14:paraId="7F9F0ED5" w14:textId="61C0F894" w:rsidR="00C36FCD" w:rsidRDefault="00C36FCD" w:rsidP="00C36FCD">
      <w:pPr>
        <w:spacing w:beforeLines="100" w:before="240" w:afterLines="100" w:after="240" w:line="360" w:lineRule="auto"/>
        <w:rPr>
          <w:rFonts w:eastAsiaTheme="minorEastAsia"/>
          <w:b/>
          <w:bCs/>
          <w:color w:val="000000" w:themeColor="text1"/>
          <w:lang w:eastAsia="zh-CN"/>
        </w:rPr>
      </w:pPr>
      <w:r w:rsidRPr="00B323F6">
        <w:rPr>
          <w:rFonts w:eastAsia="宋体"/>
        </w:rPr>
        <w:t>Reagents and conditions: i) 4-ethylaniline, Pd(OAc)</w:t>
      </w:r>
      <w:r w:rsidRPr="00B323F6">
        <w:rPr>
          <w:rFonts w:eastAsia="宋体"/>
          <w:vertAlign w:val="subscript"/>
        </w:rPr>
        <w:t>2</w:t>
      </w:r>
      <w:r w:rsidRPr="00B323F6">
        <w:rPr>
          <w:rFonts w:eastAsia="宋体"/>
        </w:rPr>
        <w:t xml:space="preserve">, NaOt-Bu, X-Phos, toluene, 110 </w:t>
      </w:r>
      <w:r w:rsidR="00A246BA" w:rsidRPr="00A246BA">
        <w:rPr>
          <w:rFonts w:eastAsia="宋体"/>
        </w:rPr>
        <w:t>°</w:t>
      </w:r>
      <w:r w:rsidR="00A246BA" w:rsidRPr="00A246BA">
        <w:rPr>
          <w:rFonts w:eastAsia="宋体" w:hint="eastAsia"/>
          <w:lang w:eastAsia="zh-CN"/>
        </w:rPr>
        <w:t>C</w:t>
      </w:r>
      <w:r w:rsidRPr="00B323F6">
        <w:rPr>
          <w:rFonts w:eastAsia="宋体"/>
        </w:rPr>
        <w:t xml:space="preserve">; ii) 1-iodohexane, NaH, DMF iii) NBS, DMF, 0 </w:t>
      </w:r>
      <w:r w:rsidR="00A246BA" w:rsidRPr="00A246BA">
        <w:rPr>
          <w:rFonts w:eastAsia="宋体"/>
        </w:rPr>
        <w:t>°</w:t>
      </w:r>
      <w:r w:rsidR="00A246BA" w:rsidRPr="00A246BA">
        <w:rPr>
          <w:rFonts w:eastAsia="宋体" w:hint="eastAsia"/>
          <w:lang w:eastAsia="zh-CN"/>
        </w:rPr>
        <w:t>C</w:t>
      </w:r>
      <w:r w:rsidRPr="00B323F6">
        <w:rPr>
          <w:rFonts w:eastAsia="宋体"/>
        </w:rPr>
        <w:t>; iv) trimethyl(6-hexylthieno[3,2-b]thiophen-2-yl)stannane, Pd(PPh</w:t>
      </w:r>
      <w:r w:rsidRPr="00B323F6">
        <w:rPr>
          <w:rFonts w:eastAsia="宋体"/>
          <w:vertAlign w:val="subscript"/>
        </w:rPr>
        <w:t>3</w:t>
      </w:r>
      <w:r w:rsidRPr="00B323F6">
        <w:rPr>
          <w:rFonts w:eastAsia="宋体"/>
        </w:rPr>
        <w:t>)</w:t>
      </w:r>
      <w:r w:rsidRPr="00B323F6">
        <w:rPr>
          <w:rFonts w:eastAsia="宋体"/>
          <w:vertAlign w:val="subscript"/>
        </w:rPr>
        <w:t>4</w:t>
      </w:r>
      <w:r w:rsidRPr="00B323F6">
        <w:rPr>
          <w:rFonts w:eastAsia="宋体"/>
        </w:rPr>
        <w:t xml:space="preserve">, toluene, 110 </w:t>
      </w:r>
      <w:r w:rsidR="00A246BA" w:rsidRPr="00A246BA">
        <w:rPr>
          <w:rFonts w:eastAsia="宋体"/>
        </w:rPr>
        <w:t>°</w:t>
      </w:r>
      <w:r w:rsidR="00A246BA" w:rsidRPr="00A246BA">
        <w:rPr>
          <w:rFonts w:eastAsia="宋体" w:hint="eastAsia"/>
          <w:lang w:eastAsia="zh-CN"/>
        </w:rPr>
        <w:t>C</w:t>
      </w:r>
      <w:r w:rsidRPr="00B323F6">
        <w:rPr>
          <w:rFonts w:eastAsia="宋体"/>
        </w:rPr>
        <w:t>; v) POCl</w:t>
      </w:r>
      <w:r w:rsidRPr="00B323F6">
        <w:rPr>
          <w:rFonts w:eastAsia="宋体"/>
          <w:vertAlign w:val="subscript"/>
        </w:rPr>
        <w:t>3</w:t>
      </w:r>
      <w:r w:rsidRPr="00B323F6">
        <w:rPr>
          <w:rFonts w:eastAsia="宋体"/>
        </w:rPr>
        <w:t xml:space="preserve">, 1,2-dichloroethane, DMF, 80 </w:t>
      </w:r>
      <w:r w:rsidR="00A246BA" w:rsidRPr="00A246BA">
        <w:rPr>
          <w:rFonts w:eastAsia="宋体"/>
        </w:rPr>
        <w:t>°</w:t>
      </w:r>
      <w:r w:rsidR="00A246BA" w:rsidRPr="00A246BA">
        <w:rPr>
          <w:rFonts w:eastAsia="宋体" w:hint="eastAsia"/>
          <w:lang w:eastAsia="zh-CN"/>
        </w:rPr>
        <w:t>C</w:t>
      </w:r>
      <w:r w:rsidRPr="00B323F6">
        <w:rPr>
          <w:rFonts w:eastAsia="宋体"/>
        </w:rPr>
        <w:t>; vi) 2-(5,6-difluoro-3-oxo-2,3-dihydro-1H-inden-1-ylidene)malononitrile, acetic anhydride, toluene</w:t>
      </w:r>
    </w:p>
    <w:p w14:paraId="270BC873" w14:textId="38431118" w:rsidR="00930A08" w:rsidRDefault="00C36FCD" w:rsidP="00C36FCD">
      <w:pPr>
        <w:spacing w:beforeLines="100" w:before="240" w:afterLines="100" w:after="240" w:line="360" w:lineRule="auto"/>
        <w:rPr>
          <w:rFonts w:eastAsiaTheme="minorEastAsia"/>
          <w:b/>
          <w:sz w:val="28"/>
          <w:szCs w:val="28"/>
          <w:lang w:eastAsia="zh-CN"/>
        </w:rPr>
      </w:pPr>
      <w:r w:rsidRPr="00C20DCD">
        <w:rPr>
          <w:b/>
          <w:bCs/>
          <w:color w:val="000000" w:themeColor="text1"/>
        </w:rPr>
        <w:t>Fig. 1</w:t>
      </w:r>
      <w:r w:rsidRPr="00C20DCD">
        <w:rPr>
          <w:rFonts w:eastAsia="宋体"/>
          <w:color w:val="000000" w:themeColor="text1"/>
          <w:kern w:val="2"/>
          <w:lang w:val="en-US" w:eastAsia="zh-CN"/>
        </w:rPr>
        <w:t xml:space="preserve"> Chemical structure of </w:t>
      </w:r>
      <w:r w:rsidR="00591269" w:rsidRPr="00591269">
        <w:rPr>
          <w:rFonts w:eastAsia="宋体"/>
          <w:b/>
          <w:color w:val="000000" w:themeColor="text1"/>
          <w:kern w:val="2"/>
          <w:lang w:val="en-US" w:eastAsia="zh-CN"/>
        </w:rPr>
        <w:t>a</w:t>
      </w:r>
      <w:r w:rsidRPr="00C20DCD">
        <w:rPr>
          <w:rFonts w:eastAsia="宋体"/>
          <w:color w:val="000000" w:themeColor="text1"/>
          <w:kern w:val="2"/>
          <w:lang w:val="en-US" w:eastAsia="zh-CN"/>
        </w:rPr>
        <w:t xml:space="preserve"> </w:t>
      </w:r>
      <w:r w:rsidRPr="00C20DCD">
        <w:rPr>
          <w:rFonts w:eastAsia="宋体"/>
          <w:b/>
          <w:bCs/>
          <w:color w:val="000000" w:themeColor="text1"/>
          <w:kern w:val="2"/>
          <w:lang w:val="en-US" w:eastAsia="zh-CN"/>
        </w:rPr>
        <w:t>TT-Ph-C6</w:t>
      </w:r>
      <w:r w:rsidRPr="00C20DCD">
        <w:rPr>
          <w:rFonts w:eastAsia="宋体"/>
          <w:color w:val="000000" w:themeColor="text1"/>
          <w:kern w:val="2"/>
          <w:lang w:val="en-US" w:eastAsia="zh-CN"/>
        </w:rPr>
        <w:t xml:space="preserve"> and </w:t>
      </w:r>
      <w:r w:rsidR="00591269" w:rsidRPr="00591269">
        <w:rPr>
          <w:rFonts w:eastAsia="宋体"/>
          <w:b/>
          <w:color w:val="000000" w:themeColor="text1"/>
          <w:kern w:val="2"/>
          <w:lang w:val="en-US" w:eastAsia="zh-CN"/>
        </w:rPr>
        <w:t>b</w:t>
      </w:r>
      <w:r w:rsidRPr="00C20DCD">
        <w:rPr>
          <w:rFonts w:eastAsia="宋体"/>
          <w:color w:val="000000" w:themeColor="text1"/>
          <w:kern w:val="2"/>
          <w:lang w:val="en-US" w:eastAsia="zh-CN"/>
        </w:rPr>
        <w:t xml:space="preserve"> 2BTh-2F; </w:t>
      </w:r>
      <w:r w:rsidR="00591269" w:rsidRPr="00591269">
        <w:rPr>
          <w:rFonts w:eastAsia="宋体"/>
          <w:b/>
          <w:color w:val="000000" w:themeColor="text1"/>
          <w:kern w:val="2"/>
          <w:lang w:val="en-US" w:eastAsia="zh-CN"/>
        </w:rPr>
        <w:t>c</w:t>
      </w:r>
      <w:r w:rsidRPr="00C20DCD">
        <w:rPr>
          <w:rFonts w:eastAsia="宋体"/>
          <w:color w:val="000000" w:themeColor="text1"/>
          <w:kern w:val="2"/>
          <w:lang w:val="en-US" w:eastAsia="zh-CN"/>
        </w:rPr>
        <w:t xml:space="preserve"> UV-vis absorption spectra (in chloroform solutions and as films) and </w:t>
      </w:r>
      <w:r w:rsidR="00591269" w:rsidRPr="00591269">
        <w:rPr>
          <w:rFonts w:eastAsia="宋体"/>
          <w:b/>
          <w:color w:val="000000" w:themeColor="text1"/>
          <w:kern w:val="2"/>
          <w:lang w:val="en-US" w:eastAsia="zh-CN"/>
        </w:rPr>
        <w:t>d</w:t>
      </w:r>
      <w:r w:rsidRPr="00C20DCD">
        <w:rPr>
          <w:rFonts w:eastAsia="宋体"/>
          <w:color w:val="000000" w:themeColor="text1"/>
          <w:kern w:val="2"/>
          <w:lang w:val="en-US" w:eastAsia="zh-CN"/>
        </w:rPr>
        <w:t xml:space="preserve"> energy level diagram of </w:t>
      </w:r>
      <w:r w:rsidRPr="00C20DCD">
        <w:rPr>
          <w:rFonts w:eastAsia="宋体"/>
          <w:b/>
          <w:bCs/>
          <w:color w:val="000000" w:themeColor="text1"/>
          <w:kern w:val="2"/>
          <w:lang w:val="en-US" w:eastAsia="zh-CN"/>
        </w:rPr>
        <w:t>TT-Ph-C6</w:t>
      </w:r>
      <w:r w:rsidRPr="00C20DCD">
        <w:rPr>
          <w:rFonts w:eastAsia="宋体"/>
          <w:color w:val="000000" w:themeColor="text1"/>
          <w:kern w:val="2"/>
          <w:lang w:val="en-US" w:eastAsia="zh-CN"/>
        </w:rPr>
        <w:t xml:space="preserve"> and 2BTh-2F</w:t>
      </w:r>
    </w:p>
    <w:p w14:paraId="7CFEA040" w14:textId="7ECF77FA" w:rsidR="00930A08" w:rsidRDefault="00C36FCD" w:rsidP="00C36FCD">
      <w:pPr>
        <w:spacing w:beforeLines="100" w:before="240" w:afterLines="100" w:after="240" w:line="360" w:lineRule="auto"/>
        <w:rPr>
          <w:rFonts w:eastAsiaTheme="minorEastAsia"/>
          <w:b/>
          <w:sz w:val="28"/>
          <w:szCs w:val="28"/>
          <w:lang w:eastAsia="zh-CN"/>
        </w:rPr>
      </w:pPr>
      <w:r>
        <w:rPr>
          <w:rFonts w:eastAsia="宋体"/>
          <w:b/>
          <w:bCs/>
          <w:kern w:val="2"/>
          <w:lang w:val="en-US" w:eastAsia="zh-CN"/>
        </w:rPr>
        <w:t>Fig. 2</w:t>
      </w:r>
      <w:r>
        <w:rPr>
          <w:rFonts w:eastAsia="宋体"/>
          <w:kern w:val="2"/>
          <w:lang w:val="en-US" w:eastAsia="zh-CN"/>
        </w:rPr>
        <w:t xml:space="preserve"> </w:t>
      </w:r>
      <w:r w:rsidRPr="00C85E0E">
        <w:rPr>
          <w:rFonts w:eastAsia="宋体"/>
          <w:kern w:val="2"/>
          <w:lang w:val="en-US" w:eastAsia="zh-CN"/>
        </w:rPr>
        <w:t xml:space="preserve">Single-crystal structures of </w:t>
      </w:r>
      <w:r w:rsidRPr="00C85E0E">
        <w:rPr>
          <w:rFonts w:eastAsia="宋体"/>
          <w:b/>
          <w:bCs/>
          <w:kern w:val="2"/>
          <w:lang w:val="en-US" w:eastAsia="zh-CN"/>
        </w:rPr>
        <w:t>TT-Ph-C6</w:t>
      </w:r>
      <w:r w:rsidRPr="00C85E0E">
        <w:rPr>
          <w:rFonts w:eastAsia="宋体"/>
          <w:kern w:val="2"/>
          <w:lang w:val="en-US" w:eastAsia="zh-CN"/>
        </w:rPr>
        <w:t xml:space="preserve"> with two conformations (</w:t>
      </w:r>
      <w:r w:rsidR="00591269" w:rsidRPr="00591269">
        <w:rPr>
          <w:rFonts w:eastAsia="宋体"/>
          <w:b/>
          <w:kern w:val="2"/>
          <w:lang w:val="en-US" w:eastAsia="zh-CN"/>
        </w:rPr>
        <w:t>a</w:t>
      </w:r>
      <w:r w:rsidR="00591269" w:rsidRPr="00C85E0E">
        <w:rPr>
          <w:rFonts w:eastAsia="宋体"/>
          <w:kern w:val="2"/>
          <w:lang w:val="en-US" w:eastAsia="zh-CN"/>
        </w:rPr>
        <w:t xml:space="preserve"> </w:t>
      </w:r>
      <w:r w:rsidRPr="00C85E0E">
        <w:rPr>
          <w:rFonts w:eastAsia="宋体"/>
          <w:kern w:val="2"/>
          <w:lang w:val="en-US" w:eastAsia="zh-CN"/>
        </w:rPr>
        <w:t>conformation</w:t>
      </w:r>
      <w:r w:rsidR="00591269" w:rsidRPr="00591269">
        <w:rPr>
          <w:rFonts w:eastAsia="宋体"/>
          <w:b/>
          <w:kern w:val="2"/>
          <w:lang w:val="en-US" w:eastAsia="zh-CN"/>
        </w:rPr>
        <w:t xml:space="preserve"> </w:t>
      </w:r>
      <w:r w:rsidRPr="00C85E0E">
        <w:rPr>
          <w:rFonts w:eastAsia="宋体"/>
          <w:i/>
          <w:iCs/>
          <w:kern w:val="2"/>
          <w:lang w:val="en-US" w:eastAsia="zh-CN"/>
        </w:rPr>
        <w:t>α</w:t>
      </w:r>
      <w:r w:rsidR="00591269">
        <w:rPr>
          <w:rFonts w:eastAsia="宋体" w:hint="eastAsia"/>
          <w:kern w:val="2"/>
          <w:lang w:val="en-US" w:eastAsia="zh-CN"/>
        </w:rPr>
        <w:t xml:space="preserve"> </w:t>
      </w:r>
      <w:r w:rsidRPr="00C85E0E">
        <w:rPr>
          <w:rFonts w:eastAsia="宋体"/>
          <w:kern w:val="2"/>
          <w:lang w:val="en-US" w:eastAsia="zh-CN"/>
        </w:rPr>
        <w:t xml:space="preserve">and </w:t>
      </w:r>
      <w:r w:rsidR="00591269" w:rsidRPr="00591269">
        <w:rPr>
          <w:rFonts w:eastAsia="宋体"/>
          <w:b/>
          <w:kern w:val="2"/>
          <w:lang w:val="en-US" w:eastAsia="zh-CN"/>
        </w:rPr>
        <w:t>b</w:t>
      </w:r>
      <w:r w:rsidR="00591269" w:rsidRPr="00591269">
        <w:rPr>
          <w:rFonts w:eastAsia="宋体"/>
          <w:kern w:val="2"/>
          <w:lang w:val="en-US" w:eastAsia="zh-CN"/>
        </w:rPr>
        <w:t xml:space="preserve"> </w:t>
      </w:r>
      <w:r w:rsidR="00591269" w:rsidRPr="00C85E0E">
        <w:rPr>
          <w:rFonts w:eastAsia="宋体"/>
          <w:kern w:val="2"/>
          <w:lang w:val="en-US" w:eastAsia="zh-CN"/>
        </w:rPr>
        <w:t>conformation</w:t>
      </w:r>
      <w:r w:rsidR="00591269">
        <w:rPr>
          <w:rFonts w:eastAsia="宋体" w:hint="eastAsia"/>
          <w:b/>
          <w:kern w:val="2"/>
          <w:lang w:val="en-US" w:eastAsia="zh-CN"/>
        </w:rPr>
        <w:t xml:space="preserve"> </w:t>
      </w:r>
      <w:r w:rsidRPr="00C85E0E">
        <w:rPr>
          <w:rFonts w:eastAsia="宋体"/>
          <w:i/>
          <w:iCs/>
          <w:kern w:val="2"/>
          <w:lang w:val="en-US" w:eastAsia="zh-CN"/>
        </w:rPr>
        <w:t>β</w:t>
      </w:r>
      <w:r w:rsidRPr="00C85E0E">
        <w:rPr>
          <w:rFonts w:eastAsia="宋体"/>
          <w:kern w:val="2"/>
          <w:lang w:val="en-US" w:eastAsia="zh-CN"/>
        </w:rPr>
        <w:t xml:space="preserve">); </w:t>
      </w:r>
      <w:r w:rsidR="00591269" w:rsidRPr="00591269">
        <w:rPr>
          <w:rFonts w:eastAsia="宋体"/>
          <w:b/>
          <w:kern w:val="2"/>
          <w:lang w:val="en-US" w:eastAsia="zh-CN"/>
        </w:rPr>
        <w:t>c</w:t>
      </w:r>
      <w:r w:rsidRPr="00C85E0E">
        <w:rPr>
          <w:rFonts w:eastAsia="宋体"/>
          <w:kern w:val="2"/>
          <w:lang w:val="en-US" w:eastAsia="zh-CN"/>
        </w:rPr>
        <w:t xml:space="preserve"> molecular packing modes; </w:t>
      </w:r>
      <w:r w:rsidR="00591269" w:rsidRPr="00591269">
        <w:rPr>
          <w:rFonts w:eastAsia="宋体"/>
          <w:b/>
          <w:kern w:val="2"/>
          <w:lang w:val="en-US" w:eastAsia="zh-CN"/>
        </w:rPr>
        <w:t>d</w:t>
      </w:r>
      <w:r w:rsidRPr="00C85E0E">
        <w:rPr>
          <w:rFonts w:eastAsia="宋体"/>
          <w:kern w:val="2"/>
          <w:lang w:val="en-US" w:eastAsia="zh-CN"/>
        </w:rPr>
        <w:t xml:space="preserve"> 3D stacking network in single-crystals. Conformation</w:t>
      </w:r>
      <w:r w:rsidR="00591269">
        <w:rPr>
          <w:rFonts w:eastAsia="宋体" w:hint="eastAsia"/>
          <w:kern w:val="2"/>
          <w:lang w:val="en-US" w:eastAsia="zh-CN"/>
        </w:rPr>
        <w:t>s</w:t>
      </w:r>
      <w:r w:rsidRPr="00C85E0E">
        <w:rPr>
          <w:rFonts w:eastAsia="宋体"/>
          <w:kern w:val="2"/>
          <w:lang w:val="en-US" w:eastAsia="zh-CN"/>
        </w:rPr>
        <w:t xml:space="preserve"> are depicted in two colors: pink (conformation </w:t>
      </w:r>
      <w:r w:rsidRPr="00C85E0E">
        <w:rPr>
          <w:rFonts w:eastAsia="宋体"/>
          <w:i/>
          <w:iCs/>
          <w:kern w:val="2"/>
          <w:lang w:val="en-US" w:eastAsia="zh-CN"/>
        </w:rPr>
        <w:t>α</w:t>
      </w:r>
      <w:r w:rsidRPr="00C85E0E">
        <w:rPr>
          <w:rFonts w:eastAsia="宋体"/>
          <w:kern w:val="2"/>
          <w:lang w:val="en-US" w:eastAsia="zh-CN"/>
        </w:rPr>
        <w:t xml:space="preserve">) and green (conformation </w:t>
      </w:r>
      <w:r w:rsidRPr="00C85E0E">
        <w:rPr>
          <w:rFonts w:eastAsia="宋体"/>
          <w:i/>
          <w:iCs/>
          <w:kern w:val="2"/>
          <w:lang w:val="en-US" w:eastAsia="zh-CN"/>
        </w:rPr>
        <w:t>β</w:t>
      </w:r>
      <w:r w:rsidRPr="00C85E0E">
        <w:rPr>
          <w:rFonts w:eastAsia="宋体"/>
          <w:kern w:val="2"/>
          <w:lang w:val="en-US" w:eastAsia="zh-CN"/>
        </w:rPr>
        <w:t>)</w:t>
      </w:r>
    </w:p>
    <w:p w14:paraId="4D38C9EB" w14:textId="768C7776" w:rsidR="00930A08" w:rsidRDefault="00C36FCD" w:rsidP="00C36FCD">
      <w:pPr>
        <w:spacing w:beforeLines="100" w:before="240" w:afterLines="100" w:after="240" w:line="360" w:lineRule="auto"/>
        <w:rPr>
          <w:rFonts w:eastAsia="宋体"/>
          <w:kern w:val="2"/>
          <w:lang w:val="en-US" w:eastAsia="zh-CN"/>
        </w:rPr>
      </w:pPr>
      <w:r>
        <w:rPr>
          <w:rFonts w:eastAsia="宋体"/>
          <w:b/>
          <w:bCs/>
          <w:kern w:val="2"/>
          <w:lang w:val="en-US" w:eastAsia="zh-CN"/>
        </w:rPr>
        <w:t>Fig. 3</w:t>
      </w:r>
      <w:r>
        <w:rPr>
          <w:rFonts w:eastAsia="宋体"/>
          <w:kern w:val="2"/>
          <w:lang w:val="en-US" w:eastAsia="zh-CN"/>
        </w:rPr>
        <w:t xml:space="preserve"> </w:t>
      </w:r>
      <w:r w:rsidRPr="0035546D">
        <w:rPr>
          <w:rFonts w:eastAsia="宋体"/>
          <w:kern w:val="2"/>
          <w:lang w:val="en-US" w:eastAsia="zh-CN"/>
        </w:rPr>
        <w:t xml:space="preserve">Performance and photoelectric characteristics of the </w:t>
      </w:r>
      <w:r w:rsidRPr="0035546D">
        <w:rPr>
          <w:rFonts w:eastAsia="宋体"/>
          <w:b/>
          <w:bCs/>
          <w:kern w:val="2"/>
          <w:lang w:val="en-US" w:eastAsia="zh-CN"/>
        </w:rPr>
        <w:t>TT-Ph-C6</w:t>
      </w:r>
      <w:r w:rsidRPr="0035546D">
        <w:rPr>
          <w:rFonts w:eastAsia="宋体"/>
          <w:kern w:val="2"/>
          <w:lang w:val="en-US" w:eastAsia="zh-CN"/>
        </w:rPr>
        <w:t xml:space="preserve"> and 2BTh-2F based devices, </w:t>
      </w:r>
      <w:r w:rsidR="00591269" w:rsidRPr="00591269">
        <w:rPr>
          <w:rFonts w:eastAsia="宋体"/>
          <w:b/>
          <w:kern w:val="2"/>
          <w:lang w:val="en-US" w:eastAsia="zh-CN"/>
        </w:rPr>
        <w:t>a</w:t>
      </w:r>
      <w:r w:rsidRPr="0035546D">
        <w:rPr>
          <w:rFonts w:eastAsia="宋体"/>
          <w:kern w:val="2"/>
          <w:lang w:val="en-US" w:eastAsia="zh-CN"/>
        </w:rPr>
        <w:t xml:space="preserve"> </w:t>
      </w:r>
      <w:r w:rsidRPr="0035546D">
        <w:rPr>
          <w:rFonts w:eastAsia="宋体"/>
          <w:i/>
          <w:iCs/>
          <w:kern w:val="2"/>
          <w:lang w:val="en-US" w:eastAsia="zh-CN"/>
        </w:rPr>
        <w:t>J-V</w:t>
      </w:r>
      <w:r w:rsidRPr="0035546D">
        <w:rPr>
          <w:rFonts w:eastAsia="宋体"/>
          <w:kern w:val="2"/>
          <w:lang w:val="en-US" w:eastAsia="zh-CN"/>
        </w:rPr>
        <w:t xml:space="preserve"> curves, </w:t>
      </w:r>
      <w:r w:rsidR="00591269" w:rsidRPr="00591269">
        <w:rPr>
          <w:rFonts w:eastAsia="宋体"/>
          <w:b/>
          <w:kern w:val="2"/>
          <w:lang w:val="en-US" w:eastAsia="zh-CN"/>
        </w:rPr>
        <w:t>b</w:t>
      </w:r>
      <w:r w:rsidRPr="0035546D">
        <w:rPr>
          <w:rFonts w:eastAsia="宋体"/>
          <w:kern w:val="2"/>
          <w:lang w:val="en-US" w:eastAsia="zh-CN"/>
        </w:rPr>
        <w:t xml:space="preserve"> EQE spectra, </w:t>
      </w:r>
      <w:r w:rsidR="00591269" w:rsidRPr="00591269">
        <w:rPr>
          <w:rFonts w:eastAsia="宋体"/>
          <w:b/>
          <w:kern w:val="2"/>
          <w:lang w:val="en-US" w:eastAsia="zh-CN"/>
        </w:rPr>
        <w:t>c</w:t>
      </w:r>
      <w:r w:rsidRPr="0035546D">
        <w:rPr>
          <w:rFonts w:eastAsia="宋体"/>
          <w:kern w:val="2"/>
          <w:lang w:val="en-US" w:eastAsia="zh-CN"/>
        </w:rPr>
        <w:t xml:space="preserve"> Dependence of </w:t>
      </w:r>
      <w:r w:rsidRPr="0035546D">
        <w:rPr>
          <w:rFonts w:eastAsia="宋体"/>
          <w:i/>
          <w:iCs/>
          <w:kern w:val="2"/>
          <w:lang w:val="en-US" w:eastAsia="zh-CN"/>
        </w:rPr>
        <w:t>J</w:t>
      </w:r>
      <w:r w:rsidRPr="0035546D">
        <w:rPr>
          <w:rFonts w:eastAsia="宋体"/>
          <w:kern w:val="2"/>
          <w:vertAlign w:val="subscript"/>
          <w:lang w:val="en-US" w:eastAsia="zh-CN"/>
        </w:rPr>
        <w:t>sc</w:t>
      </w:r>
      <w:r w:rsidRPr="0035546D">
        <w:rPr>
          <w:rFonts w:eastAsia="宋体"/>
          <w:kern w:val="2"/>
          <w:lang w:val="en-US" w:eastAsia="zh-CN"/>
        </w:rPr>
        <w:t xml:space="preserve"> on </w:t>
      </w:r>
      <w:r w:rsidRPr="0035546D">
        <w:rPr>
          <w:rFonts w:eastAsia="宋体"/>
          <w:i/>
          <w:iCs/>
          <w:kern w:val="2"/>
          <w:lang w:val="en-US" w:eastAsia="zh-CN"/>
        </w:rPr>
        <w:t>P</w:t>
      </w:r>
      <w:r w:rsidRPr="0035546D">
        <w:rPr>
          <w:rFonts w:eastAsia="宋体"/>
          <w:kern w:val="2"/>
          <w:vertAlign w:val="subscript"/>
          <w:lang w:val="en-US" w:eastAsia="zh-CN"/>
        </w:rPr>
        <w:t>light</w:t>
      </w:r>
      <w:r w:rsidRPr="0035546D">
        <w:rPr>
          <w:rFonts w:eastAsia="宋体"/>
          <w:kern w:val="2"/>
          <w:lang w:val="en-US" w:eastAsia="zh-CN"/>
        </w:rPr>
        <w:t xml:space="preserve">; </w:t>
      </w:r>
      <w:r w:rsidR="00591269" w:rsidRPr="00591269">
        <w:rPr>
          <w:rFonts w:eastAsia="宋体"/>
          <w:b/>
          <w:kern w:val="2"/>
          <w:lang w:val="en-US" w:eastAsia="zh-CN"/>
        </w:rPr>
        <w:t>d</w:t>
      </w:r>
      <w:r w:rsidRPr="0035546D">
        <w:rPr>
          <w:rFonts w:eastAsia="宋体"/>
          <w:kern w:val="2"/>
          <w:lang w:val="en-US" w:eastAsia="zh-CN"/>
        </w:rPr>
        <w:t xml:space="preserve"> Recently reported photovoltaic performance statistics of OSCs based on NFREAs; </w:t>
      </w:r>
      <w:r w:rsidR="00591269" w:rsidRPr="00591269">
        <w:rPr>
          <w:rFonts w:eastAsia="宋体"/>
          <w:b/>
          <w:kern w:val="2"/>
          <w:lang w:val="en-US" w:eastAsia="zh-CN"/>
        </w:rPr>
        <w:t>e</w:t>
      </w:r>
      <w:r w:rsidRPr="0035546D">
        <w:rPr>
          <w:rFonts w:eastAsia="宋体"/>
          <w:kern w:val="2"/>
          <w:lang w:val="en-US" w:eastAsia="zh-CN"/>
        </w:rPr>
        <w:t xml:space="preserve"> The </w:t>
      </w:r>
      <w:r w:rsidRPr="0035546D">
        <w:rPr>
          <w:rFonts w:eastAsia="宋体"/>
          <w:i/>
          <w:iCs/>
          <w:kern w:val="2"/>
          <w:lang w:val="en-US" w:eastAsia="zh-CN"/>
        </w:rPr>
        <w:t>μ</w:t>
      </w:r>
      <w:r w:rsidRPr="0035546D">
        <w:rPr>
          <w:rFonts w:eastAsia="宋体"/>
          <w:kern w:val="2"/>
          <w:vertAlign w:val="subscript"/>
          <w:lang w:val="en-US" w:eastAsia="zh-CN"/>
        </w:rPr>
        <w:t>h</w:t>
      </w:r>
      <w:r w:rsidRPr="0035546D">
        <w:rPr>
          <w:rFonts w:eastAsia="宋体"/>
          <w:kern w:val="2"/>
          <w:lang w:val="en-US" w:eastAsia="zh-CN"/>
        </w:rPr>
        <w:t xml:space="preserve"> transport mobilities; </w:t>
      </w:r>
      <w:r w:rsidR="00591269" w:rsidRPr="00591269">
        <w:rPr>
          <w:rFonts w:eastAsia="宋体"/>
          <w:b/>
          <w:kern w:val="2"/>
          <w:lang w:val="en-US" w:eastAsia="zh-CN"/>
        </w:rPr>
        <w:t>f</w:t>
      </w:r>
      <w:r w:rsidRPr="0035546D">
        <w:rPr>
          <w:rFonts w:eastAsia="宋体"/>
          <w:kern w:val="2"/>
          <w:lang w:val="en-US" w:eastAsia="zh-CN"/>
        </w:rPr>
        <w:t xml:space="preserve"> </w:t>
      </w:r>
      <w:r w:rsidRPr="0035546D">
        <w:rPr>
          <w:rFonts w:eastAsia="宋体"/>
          <w:i/>
          <w:iCs/>
          <w:kern w:val="2"/>
          <w:lang w:val="en-US" w:eastAsia="zh-CN"/>
        </w:rPr>
        <w:t>μ</w:t>
      </w:r>
      <w:r w:rsidRPr="0035546D">
        <w:rPr>
          <w:rFonts w:eastAsia="宋体"/>
          <w:kern w:val="2"/>
          <w:vertAlign w:val="subscript"/>
          <w:lang w:val="en-US" w:eastAsia="zh-CN"/>
        </w:rPr>
        <w:t>e</w:t>
      </w:r>
      <w:r w:rsidRPr="0035546D">
        <w:rPr>
          <w:rFonts w:eastAsia="宋体"/>
          <w:kern w:val="2"/>
          <w:lang w:val="en-US" w:eastAsia="zh-CN"/>
        </w:rPr>
        <w:t xml:space="preserve"> transport mobilities</w:t>
      </w:r>
    </w:p>
    <w:p w14:paraId="0405FB66" w14:textId="314A4917" w:rsidR="00C36FCD" w:rsidRDefault="00C36FCD" w:rsidP="00C36FCD">
      <w:pPr>
        <w:spacing w:beforeLines="100" w:before="240" w:afterLines="100" w:after="240" w:line="360" w:lineRule="auto"/>
        <w:rPr>
          <w:rFonts w:eastAsia="宋体"/>
          <w:kern w:val="2"/>
          <w:lang w:val="en-US" w:eastAsia="zh-CN"/>
        </w:rPr>
      </w:pPr>
      <w:r>
        <w:rPr>
          <w:rFonts w:eastAsia="宋体"/>
          <w:b/>
          <w:bCs/>
          <w:kern w:val="2"/>
          <w:lang w:val="en-US" w:eastAsia="zh-CN"/>
        </w:rPr>
        <w:t>Fig. 4</w:t>
      </w:r>
      <w:r>
        <w:rPr>
          <w:rFonts w:eastAsia="宋体"/>
          <w:kern w:val="2"/>
          <w:lang w:val="en-US" w:eastAsia="zh-CN"/>
        </w:rPr>
        <w:t xml:space="preserve"> </w:t>
      </w:r>
      <w:r w:rsidRPr="00D25A20">
        <w:rPr>
          <w:rFonts w:eastAsia="宋体"/>
          <w:kern w:val="2"/>
          <w:lang w:val="en-US" w:eastAsia="zh-CN"/>
        </w:rPr>
        <w:t>TA image and the corresponding TA spectra</w:t>
      </w:r>
      <w:r w:rsidR="00591269" w:rsidRPr="00591269">
        <w:rPr>
          <w:rFonts w:eastAsia="宋体"/>
          <w:b/>
          <w:bCs/>
          <w:kern w:val="2"/>
          <w:lang w:val="en-US" w:eastAsia="zh-CN"/>
        </w:rPr>
        <w:t xml:space="preserve"> </w:t>
      </w:r>
      <w:r w:rsidR="00591269" w:rsidRPr="00591269">
        <w:rPr>
          <w:rFonts w:eastAsia="宋体" w:hint="eastAsia"/>
          <w:kern w:val="2"/>
          <w:lang w:val="en-US" w:eastAsia="zh-CN"/>
        </w:rPr>
        <w:t>of</w:t>
      </w:r>
      <w:r w:rsidR="00591269">
        <w:rPr>
          <w:rFonts w:eastAsia="宋体" w:hint="eastAsia"/>
          <w:b/>
          <w:bCs/>
          <w:kern w:val="2"/>
          <w:lang w:val="en-US" w:eastAsia="zh-CN"/>
        </w:rPr>
        <w:t xml:space="preserve"> </w:t>
      </w:r>
      <w:r w:rsidR="00591269" w:rsidRPr="00591269">
        <w:rPr>
          <w:rFonts w:eastAsia="宋体"/>
          <w:b/>
          <w:bCs/>
          <w:kern w:val="2"/>
          <w:lang w:val="en-US" w:eastAsia="zh-CN"/>
        </w:rPr>
        <w:t>a</w:t>
      </w:r>
      <w:r w:rsidR="00591269" w:rsidRPr="00D25A20">
        <w:rPr>
          <w:rFonts w:eastAsia="宋体"/>
          <w:kern w:val="2"/>
          <w:lang w:val="en-US" w:eastAsia="zh-CN"/>
        </w:rPr>
        <w:t xml:space="preserve"> and </w:t>
      </w:r>
      <w:r w:rsidR="00591269" w:rsidRPr="00591269">
        <w:rPr>
          <w:rFonts w:eastAsia="宋体"/>
          <w:b/>
          <w:kern w:val="2"/>
          <w:lang w:val="en-US" w:eastAsia="zh-CN"/>
        </w:rPr>
        <w:t>c</w:t>
      </w:r>
      <w:r w:rsidRPr="00D25A20">
        <w:rPr>
          <w:rFonts w:eastAsia="宋体"/>
          <w:kern w:val="2"/>
          <w:lang w:val="en-US" w:eastAsia="zh-CN"/>
        </w:rPr>
        <w:t xml:space="preserve"> D18:</w:t>
      </w:r>
      <w:r w:rsidRPr="00D25A20">
        <w:rPr>
          <w:rFonts w:eastAsia="宋体"/>
          <w:b/>
          <w:bCs/>
          <w:kern w:val="2"/>
          <w:lang w:val="en-US" w:eastAsia="zh-CN"/>
        </w:rPr>
        <w:t>TT-Ph-C6</w:t>
      </w:r>
      <w:r w:rsidRPr="00D25A20">
        <w:rPr>
          <w:rFonts w:eastAsia="宋体"/>
          <w:kern w:val="2"/>
          <w:lang w:val="en-US" w:eastAsia="zh-CN"/>
        </w:rPr>
        <w:t xml:space="preserve">, </w:t>
      </w:r>
      <w:r w:rsidR="00591269" w:rsidRPr="00591269">
        <w:rPr>
          <w:rFonts w:eastAsia="宋体"/>
          <w:b/>
          <w:bCs/>
          <w:kern w:val="2"/>
          <w:lang w:val="en-US" w:eastAsia="zh-CN"/>
        </w:rPr>
        <w:t>b</w:t>
      </w:r>
      <w:r w:rsidR="00591269" w:rsidRPr="00D25A20">
        <w:rPr>
          <w:rFonts w:eastAsia="宋体"/>
          <w:kern w:val="2"/>
          <w:lang w:val="en-US" w:eastAsia="zh-CN"/>
        </w:rPr>
        <w:t xml:space="preserve"> and </w:t>
      </w:r>
      <w:r w:rsidR="00591269" w:rsidRPr="00591269">
        <w:rPr>
          <w:rFonts w:eastAsia="宋体"/>
          <w:b/>
          <w:kern w:val="2"/>
          <w:lang w:val="en-US" w:eastAsia="zh-CN"/>
        </w:rPr>
        <w:t>d</w:t>
      </w:r>
      <w:r w:rsidR="00591269" w:rsidRPr="00D25A20">
        <w:rPr>
          <w:rFonts w:eastAsia="宋体"/>
          <w:kern w:val="2"/>
          <w:lang w:val="en-US" w:eastAsia="zh-CN"/>
        </w:rPr>
        <w:t xml:space="preserve"> </w:t>
      </w:r>
      <w:r w:rsidRPr="00D25A20">
        <w:rPr>
          <w:rFonts w:eastAsia="宋体"/>
          <w:kern w:val="2"/>
          <w:lang w:val="en-US" w:eastAsia="zh-CN"/>
        </w:rPr>
        <w:t xml:space="preserve">D18:2BTh-2F blend films with various decay times; Singlet exciton decay dynamics as a function of different excitation fluences for neat films of </w:t>
      </w:r>
      <w:r w:rsidR="00591269" w:rsidRPr="00591269">
        <w:rPr>
          <w:rFonts w:eastAsia="宋体"/>
          <w:b/>
          <w:kern w:val="2"/>
          <w:lang w:val="en-US" w:eastAsia="zh-CN"/>
        </w:rPr>
        <w:t>e</w:t>
      </w:r>
      <w:r w:rsidR="00591269" w:rsidRPr="00D25A20">
        <w:rPr>
          <w:rFonts w:eastAsia="宋体"/>
          <w:b/>
          <w:bCs/>
          <w:kern w:val="2"/>
          <w:lang w:val="en-US" w:eastAsia="zh-CN"/>
        </w:rPr>
        <w:t xml:space="preserve"> </w:t>
      </w:r>
      <w:r w:rsidRPr="00D25A20">
        <w:rPr>
          <w:rFonts w:eastAsia="宋体"/>
          <w:b/>
          <w:bCs/>
          <w:kern w:val="2"/>
          <w:lang w:val="en-US" w:eastAsia="zh-CN"/>
        </w:rPr>
        <w:t>TT-Ph-C6</w:t>
      </w:r>
      <w:r w:rsidRPr="00D25A20">
        <w:rPr>
          <w:rFonts w:eastAsia="宋体"/>
          <w:kern w:val="2"/>
          <w:lang w:val="en-US" w:eastAsia="zh-CN"/>
        </w:rPr>
        <w:t xml:space="preserve"> and</w:t>
      </w:r>
      <w:r w:rsidR="00591269" w:rsidRPr="00591269">
        <w:rPr>
          <w:rFonts w:eastAsia="宋体"/>
          <w:b/>
          <w:kern w:val="2"/>
          <w:lang w:val="en-US" w:eastAsia="zh-CN"/>
        </w:rPr>
        <w:t xml:space="preserve"> </w:t>
      </w:r>
      <w:r w:rsidR="00591269" w:rsidRPr="00591269">
        <w:rPr>
          <w:rFonts w:eastAsia="宋体"/>
          <w:b/>
          <w:kern w:val="2"/>
          <w:lang w:val="en-US" w:eastAsia="zh-CN"/>
        </w:rPr>
        <w:t>f</w:t>
      </w:r>
      <w:r w:rsidRPr="00D25A20">
        <w:rPr>
          <w:rFonts w:eastAsia="宋体"/>
          <w:kern w:val="2"/>
          <w:lang w:val="en-US" w:eastAsia="zh-CN"/>
        </w:rPr>
        <w:t xml:space="preserve"> 2BTh-2F, measured using time-resolved photoluminescence</w:t>
      </w:r>
    </w:p>
    <w:p w14:paraId="7372B50D" w14:textId="6ED3D23E" w:rsidR="00C36FCD" w:rsidRPr="00C36FCD" w:rsidRDefault="00C36FCD" w:rsidP="00C36FCD">
      <w:pPr>
        <w:spacing w:beforeLines="100" w:before="240" w:afterLines="100" w:after="240" w:line="360" w:lineRule="auto"/>
        <w:rPr>
          <w:rFonts w:eastAsia="宋体"/>
          <w:kern w:val="2"/>
          <w:lang w:val="en-US" w:eastAsia="zh-CN"/>
        </w:rPr>
      </w:pPr>
      <w:r>
        <w:rPr>
          <w:rFonts w:eastAsia="宋体"/>
          <w:b/>
          <w:bCs/>
          <w:kern w:val="2"/>
          <w:lang w:val="en-US" w:eastAsia="zh-CN"/>
        </w:rPr>
        <w:t>Fig. 5</w:t>
      </w:r>
      <w:r>
        <w:rPr>
          <w:rFonts w:eastAsia="宋体"/>
          <w:kern w:val="2"/>
          <w:lang w:val="en-US" w:eastAsia="zh-CN"/>
        </w:rPr>
        <w:t xml:space="preserve"> </w:t>
      </w:r>
      <w:r w:rsidR="00591269" w:rsidRPr="00591269">
        <w:rPr>
          <w:rFonts w:eastAsia="宋体"/>
          <w:b/>
          <w:kern w:val="2"/>
          <w:lang w:val="en-US" w:eastAsia="zh-CN"/>
        </w:rPr>
        <w:t>a</w:t>
      </w:r>
      <w:r w:rsidRPr="00D25A20">
        <w:rPr>
          <w:rFonts w:eastAsia="宋体"/>
          <w:kern w:val="2"/>
          <w:lang w:val="en-US" w:eastAsia="zh-CN"/>
        </w:rPr>
        <w:t xml:space="preserve"> 2D GIWAXS patterns and </w:t>
      </w:r>
      <w:r w:rsidR="00591269" w:rsidRPr="00591269">
        <w:rPr>
          <w:rFonts w:eastAsia="宋体"/>
          <w:b/>
          <w:kern w:val="2"/>
          <w:lang w:val="en-US" w:eastAsia="zh-CN"/>
        </w:rPr>
        <w:t>b</w:t>
      </w:r>
      <w:r w:rsidRPr="00D25A20">
        <w:rPr>
          <w:rFonts w:eastAsia="宋体"/>
          <w:kern w:val="2"/>
          <w:lang w:val="en-US" w:eastAsia="zh-CN"/>
        </w:rPr>
        <w:t xml:space="preserve"> 1D scattering profiles of the neat </w:t>
      </w:r>
      <w:r w:rsidRPr="00D25A20">
        <w:rPr>
          <w:rFonts w:eastAsia="宋体"/>
          <w:b/>
          <w:bCs/>
          <w:kern w:val="2"/>
          <w:lang w:val="en-US" w:eastAsia="zh-CN"/>
        </w:rPr>
        <w:t>TT-Ph-C6</w:t>
      </w:r>
      <w:r w:rsidRPr="00D25A20">
        <w:rPr>
          <w:rFonts w:eastAsia="宋体"/>
          <w:kern w:val="2"/>
          <w:lang w:val="en-US" w:eastAsia="zh-CN"/>
        </w:rPr>
        <w:t xml:space="preserve"> and 2BTh-2F films and the corresponding blend films</w:t>
      </w:r>
    </w:p>
    <w:p w14:paraId="0422008B" w14:textId="77777777" w:rsidR="00C36FCD" w:rsidRDefault="00C36FCD">
      <w:pPr>
        <w:rPr>
          <w:rFonts w:eastAsia="宋体"/>
          <w:kern w:val="2"/>
          <w:lang w:val="en-US" w:eastAsia="zh-CN"/>
        </w:rPr>
      </w:pPr>
    </w:p>
    <w:p w14:paraId="4810D928" w14:textId="77777777" w:rsidR="00C36FCD" w:rsidRDefault="00C36FCD">
      <w:pPr>
        <w:rPr>
          <w:rFonts w:eastAsia="宋体"/>
          <w:kern w:val="2"/>
          <w:lang w:val="en-US" w:eastAsia="zh-CN"/>
        </w:rPr>
      </w:pPr>
    </w:p>
    <w:p w14:paraId="2953489C" w14:textId="77777777" w:rsidR="00C36FCD" w:rsidRDefault="00C36FCD">
      <w:pPr>
        <w:rPr>
          <w:rFonts w:eastAsiaTheme="minorEastAsia" w:hint="eastAsia"/>
          <w:b/>
          <w:sz w:val="28"/>
          <w:szCs w:val="28"/>
          <w:lang w:eastAsia="zh-CN"/>
        </w:rPr>
      </w:pPr>
    </w:p>
    <w:p w14:paraId="00D5D7AC" w14:textId="0DC28C05" w:rsidR="00D944A4" w:rsidRPr="006D6FC6" w:rsidRDefault="00ED05B9" w:rsidP="006D6FC6">
      <w:pPr>
        <w:pStyle w:val="TFReferencesSection"/>
        <w:spacing w:beforeLines="100" w:before="240" w:afterLines="100" w:after="240" w:line="360" w:lineRule="auto"/>
        <w:ind w:firstLine="0"/>
        <w:jc w:val="left"/>
        <w:rPr>
          <w:rFonts w:ascii="Times New Roman" w:hAnsi="Times New Roman"/>
          <w:b/>
          <w:sz w:val="28"/>
          <w:szCs w:val="28"/>
        </w:rPr>
      </w:pPr>
      <w:r w:rsidRPr="006D6FC6">
        <w:rPr>
          <w:rFonts w:ascii="Times New Roman" w:hAnsi="Times New Roman"/>
          <w:b/>
          <w:sz w:val="28"/>
          <w:szCs w:val="28"/>
        </w:rPr>
        <w:t xml:space="preserve">References </w:t>
      </w:r>
    </w:p>
    <w:p w14:paraId="4C0C736E" w14:textId="57231A6A"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[1] Y. Liu, B. Liu, C.-Q. Ma, F. Huang, G. Feng et al., Recent progress in organic solar cells (Part I material scienc</w:t>
      </w:r>
      <w:r w:rsidR="00591269" w:rsidRPr="00591269">
        <w:rPr>
          <w:b/>
        </w:rPr>
        <w:t>e</w:t>
      </w:r>
      <w:r w:rsidRPr="006D6FC6">
        <w:t xml:space="preserve">. Sci. China Chem. </w:t>
      </w:r>
      <w:r w:rsidRPr="006D6FC6">
        <w:rPr>
          <w:b/>
        </w:rPr>
        <w:t>65</w:t>
      </w:r>
      <w:r w:rsidRPr="006D6FC6">
        <w:t xml:space="preserve">(2), 224–268 (2022). </w:t>
      </w:r>
      <w:hyperlink r:id="rId12" w:history="1">
        <w:r w:rsidR="00D01A05" w:rsidRPr="00D01A05">
          <w:rPr>
            <w:rStyle w:val="ae"/>
          </w:rPr>
          <w:t>https://doi.org/10.1007/s11426-021-1180-</w:t>
        </w:r>
        <w:r w:rsidR="00D01A05" w:rsidRPr="002D158A">
          <w:rPr>
            <w:rStyle w:val="ae"/>
          </w:rPr>
          <w:t>6</w:t>
        </w:r>
      </w:hyperlink>
      <w:r w:rsidR="00D01A05">
        <w:rPr>
          <w:rFonts w:eastAsiaTheme="minorEastAsia" w:hint="eastAsia"/>
          <w:lang w:eastAsia="zh-CN"/>
        </w:rPr>
        <w:t xml:space="preserve"> </w:t>
      </w:r>
    </w:p>
    <w:p w14:paraId="1DD27467" w14:textId="6C9450F3"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[2] R. Ma, C. Yan, J. Yu, T. Liu, H. Liu et al., High-efficiency ternary organic solar cells with a good figure-of-merit enabled by two low-cost donor polymers. ACS Energy Lett. </w:t>
      </w:r>
      <w:r w:rsidRPr="006D6FC6">
        <w:rPr>
          <w:b/>
        </w:rPr>
        <w:t>7</w:t>
      </w:r>
      <w:r w:rsidRPr="006D6FC6">
        <w:t xml:space="preserve">(8), 2547–2556 (2022). </w:t>
      </w:r>
      <w:hyperlink r:id="rId13" w:history="1">
        <w:r w:rsidR="00D01A05" w:rsidRPr="002D158A">
          <w:rPr>
            <w:rStyle w:val="ae"/>
          </w:rPr>
          <w:t>https://doi.org/10.1021/acsenergylett.2c01364</w:t>
        </w:r>
      </w:hyperlink>
      <w:r w:rsidR="00D01A05">
        <w:rPr>
          <w:rFonts w:eastAsiaTheme="minorEastAsia" w:hint="eastAsia"/>
          <w:lang w:eastAsia="zh-CN"/>
        </w:rPr>
        <w:t xml:space="preserve"> </w:t>
      </w:r>
    </w:p>
    <w:p w14:paraId="231B5251" w14:textId="3832506B"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[3] Y. Wang, H. Yu, X. Wu, D. Zhao, S. Zhang et al., Boosting the fill factor through sequential deposition and </w:t>
      </w:r>
      <w:r w:rsidRPr="006D6FC6">
        <w:rPr>
          <w:i/>
        </w:rPr>
        <w:t>Homo</w:t>
      </w:r>
      <w:r w:rsidRPr="006D6FC6">
        <w:t xml:space="preserve"> hydrocarbon solvent toward efficient and stable all-polymer solar cells. Adv. Energy Mater. </w:t>
      </w:r>
      <w:r w:rsidRPr="006D6FC6">
        <w:rPr>
          <w:b/>
        </w:rPr>
        <w:t>12</w:t>
      </w:r>
      <w:r w:rsidRPr="006D6FC6">
        <w:t xml:space="preserve">(48), 2202729 (2022). </w:t>
      </w:r>
      <w:hyperlink r:id="rId14" w:history="1">
        <w:r w:rsidR="00D01A05" w:rsidRPr="002D158A">
          <w:rPr>
            <w:rStyle w:val="ae"/>
          </w:rPr>
          <w:t>https://doi.org/10.1002/aenm.202202729</w:t>
        </w:r>
      </w:hyperlink>
      <w:r w:rsidR="00D01A05">
        <w:rPr>
          <w:rFonts w:eastAsiaTheme="minorEastAsia" w:hint="eastAsia"/>
          <w:lang w:eastAsia="zh-CN"/>
        </w:rPr>
        <w:t xml:space="preserve"> </w:t>
      </w:r>
    </w:p>
    <w:p w14:paraId="270C07F3" w14:textId="711F68DC"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[4] D. Wang, Y. Li, G. Zhou, E. Gu, R. Xia et al., High-performance see-through power windows. Energy Environ. Sci. </w:t>
      </w:r>
      <w:r w:rsidRPr="006D6FC6">
        <w:rPr>
          <w:b/>
        </w:rPr>
        <w:t>15</w:t>
      </w:r>
      <w:r w:rsidRPr="006D6FC6">
        <w:t xml:space="preserve">(6), 2629–2637 (2022). </w:t>
      </w:r>
      <w:hyperlink r:id="rId15" w:history="1">
        <w:r w:rsidR="00D01A05" w:rsidRPr="00D01A05">
          <w:rPr>
            <w:rStyle w:val="ae"/>
          </w:rPr>
          <w:t>https://doi.org/10.1039/D2EE00977</w:t>
        </w:r>
        <w:r w:rsidR="00D01A05" w:rsidRPr="002D158A">
          <w:rPr>
            <w:rStyle w:val="ae"/>
          </w:rPr>
          <w:t>C</w:t>
        </w:r>
      </w:hyperlink>
      <w:r w:rsidR="00D01A05">
        <w:rPr>
          <w:rFonts w:eastAsiaTheme="minorEastAsia" w:hint="eastAsia"/>
          <w:lang w:eastAsia="zh-CN"/>
        </w:rPr>
        <w:t xml:space="preserve"> </w:t>
      </w:r>
    </w:p>
    <w:p w14:paraId="5BC6B648" w14:textId="3EA85407"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[5] H. Zhou, Y. Zhang, C.-K. Mai, S.D. Collins, T.-Q. Nguyen et al., Conductive conjugated polyelectrolyte as hole-transporting layer for organic bulk heterojunction solar cells. Adv. Mater. </w:t>
      </w:r>
      <w:r w:rsidRPr="006D6FC6">
        <w:rPr>
          <w:b/>
        </w:rPr>
        <w:t>26</w:t>
      </w:r>
      <w:r w:rsidRPr="006D6FC6">
        <w:t xml:space="preserve">(5), 780–785 (2014). </w:t>
      </w:r>
      <w:hyperlink r:id="rId16" w:history="1">
        <w:r w:rsidR="00D01A05" w:rsidRPr="002D158A">
          <w:rPr>
            <w:rStyle w:val="ae"/>
          </w:rPr>
          <w:t>https://doi.org/10.1002/adma.201302845</w:t>
        </w:r>
      </w:hyperlink>
      <w:r w:rsidR="00D01A05">
        <w:rPr>
          <w:rFonts w:eastAsiaTheme="minorEastAsia" w:hint="eastAsia"/>
          <w:lang w:eastAsia="zh-CN"/>
        </w:rPr>
        <w:t xml:space="preserve"> </w:t>
      </w:r>
    </w:p>
    <w:p w14:paraId="4C0CC86B" w14:textId="7B521EA9"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[6] H. Wang, H. Lu, Y.-N. Chen, G. Ran, A. Zhang et al., Chlorination enabling a low-cost benzodithiophene-based wide-bandgap donor polymer with an efficiency of over 17. Adv. Mater. </w:t>
      </w:r>
      <w:r w:rsidRPr="006D6FC6">
        <w:rPr>
          <w:b/>
        </w:rPr>
        <w:t>34</w:t>
      </w:r>
      <w:r w:rsidRPr="006D6FC6">
        <w:t xml:space="preserve">(4), e2105483 (2022). </w:t>
      </w:r>
      <w:hyperlink r:id="rId17" w:history="1">
        <w:r w:rsidR="00D01A05" w:rsidRPr="002D158A">
          <w:rPr>
            <w:rStyle w:val="ae"/>
          </w:rPr>
          <w:t>https://doi.org/10.1002/adma.202105483</w:t>
        </w:r>
      </w:hyperlink>
      <w:r w:rsidR="00D01A05">
        <w:rPr>
          <w:rFonts w:eastAsiaTheme="minorEastAsia" w:hint="eastAsia"/>
          <w:lang w:eastAsia="zh-CN"/>
        </w:rPr>
        <w:t xml:space="preserve"> </w:t>
      </w:r>
    </w:p>
    <w:p w14:paraId="240FE201" w14:textId="7FE21C2F"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[7] H. Wang, H. Lu, Y.-N. Chen, A. Zhang, Y. Liu et al., A versatile planar building block with C2V symmetry for high-performance non-halogenated solvent processable polymer donors. Adv. Energy Mater. </w:t>
      </w:r>
      <w:r w:rsidRPr="006D6FC6">
        <w:rPr>
          <w:b/>
        </w:rPr>
        <w:t>12</w:t>
      </w:r>
      <w:r w:rsidRPr="006D6FC6">
        <w:t xml:space="preserve">(16), 2104028 (2022). </w:t>
      </w:r>
      <w:hyperlink r:id="rId18" w:history="1">
        <w:r w:rsidR="00D01A05" w:rsidRPr="002D158A">
          <w:rPr>
            <w:rStyle w:val="ae"/>
          </w:rPr>
          <w:t>https://doi.org/10.1002/aenm.202104028</w:t>
        </w:r>
      </w:hyperlink>
      <w:r w:rsidR="00D01A05">
        <w:rPr>
          <w:rFonts w:eastAsiaTheme="minorEastAsia" w:hint="eastAsia"/>
          <w:lang w:eastAsia="zh-CN"/>
        </w:rPr>
        <w:t xml:space="preserve"> </w:t>
      </w:r>
    </w:p>
    <w:p w14:paraId="22FA25E1" w14:textId="0211175B"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[8] J. Yan, X. Rodríguez-Martínez, D. Pearce, H. Douglas, D. Bili et al., Identifying structure–absorption relationships and predicting absorption strength of non-fullerene acceptors for organic photovoltaics. Energy Environ. Sci. </w:t>
      </w:r>
      <w:r w:rsidRPr="006D6FC6">
        <w:rPr>
          <w:b/>
        </w:rPr>
        <w:t>15</w:t>
      </w:r>
      <w:r w:rsidRPr="006D6FC6">
        <w:t xml:space="preserve">(7), 2958–2973 (2022). </w:t>
      </w:r>
      <w:hyperlink r:id="rId19" w:history="1">
        <w:r w:rsidR="00D01A05" w:rsidRPr="00D01A05">
          <w:rPr>
            <w:rStyle w:val="ae"/>
          </w:rPr>
          <w:t>https://doi.org/10.1039/D2EE00887</w:t>
        </w:r>
        <w:r w:rsidR="00D01A05" w:rsidRPr="002D158A">
          <w:rPr>
            <w:rStyle w:val="ae"/>
          </w:rPr>
          <w:t>D</w:t>
        </w:r>
      </w:hyperlink>
      <w:r w:rsidR="00D01A05">
        <w:rPr>
          <w:rFonts w:eastAsiaTheme="minorEastAsia" w:hint="eastAsia"/>
          <w:lang w:eastAsia="zh-CN"/>
        </w:rPr>
        <w:t xml:space="preserve"> </w:t>
      </w:r>
    </w:p>
    <w:p w14:paraId="6445F70D" w14:textId="24991ED9"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[9] D. Hu, Q. Yang, H. Chen, F. Wobben, V.M. Le Corre et al., 15.34% efficiency all-small-molecule organic solar cells with an improved fill factor enabled by a fullerene additive. Energy Environ. Sci. </w:t>
      </w:r>
      <w:r w:rsidRPr="006D6FC6">
        <w:rPr>
          <w:b/>
        </w:rPr>
        <w:t>13</w:t>
      </w:r>
      <w:r w:rsidRPr="006D6FC6">
        <w:t xml:space="preserve">(7), 2134–2141 (2020). </w:t>
      </w:r>
      <w:hyperlink r:id="rId20" w:history="1">
        <w:r w:rsidR="00D01A05" w:rsidRPr="00D01A05">
          <w:rPr>
            <w:rStyle w:val="ae"/>
          </w:rPr>
          <w:t>https://doi.org/10.1039/D0EE00714</w:t>
        </w:r>
        <w:r w:rsidR="00D01A05" w:rsidRPr="002D158A">
          <w:rPr>
            <w:rStyle w:val="ae"/>
          </w:rPr>
          <w:t>E</w:t>
        </w:r>
      </w:hyperlink>
      <w:r w:rsidR="00D01A05">
        <w:rPr>
          <w:rFonts w:eastAsiaTheme="minorEastAsia" w:hint="eastAsia"/>
          <w:lang w:eastAsia="zh-CN"/>
        </w:rPr>
        <w:t xml:space="preserve"> </w:t>
      </w:r>
    </w:p>
    <w:p w14:paraId="25F3F829" w14:textId="7888F5E1"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[10] D. Li, H. Lu, Y.-N. Chen, X. Ma, H. Zhang et al., High-efficiency As-cast organic solar cells based on an asymmetric acceptor. Chem. Mater. </w:t>
      </w:r>
      <w:r w:rsidRPr="006D6FC6">
        <w:rPr>
          <w:b/>
        </w:rPr>
        <w:t>34</w:t>
      </w:r>
      <w:r w:rsidRPr="006D6FC6">
        <w:t xml:space="preserve">(19), 8840–8848 (2022). </w:t>
      </w:r>
      <w:hyperlink r:id="rId21" w:history="1">
        <w:r w:rsidR="00D01A05" w:rsidRPr="002D158A">
          <w:rPr>
            <w:rStyle w:val="ae"/>
          </w:rPr>
          <w:t>https://doi.org/10.1021/acs.chemmater.2c02146</w:t>
        </w:r>
      </w:hyperlink>
      <w:r w:rsidR="00D01A05">
        <w:rPr>
          <w:rFonts w:eastAsiaTheme="minorEastAsia" w:hint="eastAsia"/>
          <w:lang w:eastAsia="zh-CN"/>
        </w:rPr>
        <w:t xml:space="preserve"> </w:t>
      </w:r>
    </w:p>
    <w:p w14:paraId="23D0BDDD" w14:textId="7D7F0D85"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[11] Y. Sun, L. Wang, C. Guo, J. Xiao, C. Liu et al., π-extended nonfullerene acceptor for compressed molecular packing in organic solar cells to achieve over 20% efficiency. J. Am. Chem. Soc. </w:t>
      </w:r>
      <w:r w:rsidRPr="006D6FC6">
        <w:rPr>
          <w:b/>
        </w:rPr>
        <w:t>146</w:t>
      </w:r>
      <w:r w:rsidRPr="006D6FC6">
        <w:t xml:space="preserve">(17), 12011–12019 (2024). </w:t>
      </w:r>
      <w:hyperlink r:id="rId22" w:history="1">
        <w:r w:rsidR="00D01A05" w:rsidRPr="002D158A">
          <w:rPr>
            <w:rStyle w:val="ae"/>
          </w:rPr>
          <w:t>https://doi.org/10.1021/jacs.4c01503</w:t>
        </w:r>
      </w:hyperlink>
      <w:r w:rsidR="00D01A05">
        <w:rPr>
          <w:rFonts w:eastAsiaTheme="minorEastAsia" w:hint="eastAsia"/>
          <w:lang w:eastAsia="zh-CN"/>
        </w:rPr>
        <w:t xml:space="preserve"> </w:t>
      </w:r>
    </w:p>
    <w:p w14:paraId="1022B8AD" w14:textId="20748E80" w:rsidR="00D944A4" w:rsidRPr="00D55E20" w:rsidRDefault="00A375A6" w:rsidP="006D6FC6">
      <w:pPr>
        <w:spacing w:beforeLines="100" w:before="240" w:afterLines="100" w:after="240" w:line="360" w:lineRule="auto"/>
        <w:ind w:left="420" w:hanging="420"/>
        <w:rPr>
          <w:rFonts w:eastAsiaTheme="minorEastAsia" w:hint="eastAsia"/>
          <w:lang w:eastAsia="zh-CN"/>
        </w:rPr>
      </w:pPr>
      <w:r w:rsidRPr="006D6FC6">
        <w:t xml:space="preserve">[12] H. Lu, D. Li, W. Liu, G. Ran, H. Wu et al., Designing A-D-a type fused-ring electron acceptors with a bulky 3D substituent at the central donor core to minimize non-radiative losses and enhance organic solar cell efficiency. Angew. Chem. Int. Ed. </w:t>
      </w:r>
      <w:r w:rsidRPr="006D6FC6">
        <w:rPr>
          <w:b/>
        </w:rPr>
        <w:t>63</w:t>
      </w:r>
      <w:r w:rsidRPr="006D6FC6">
        <w:t xml:space="preserve">(33), e202407007 (2024). </w:t>
      </w:r>
      <w:hyperlink r:id="rId23" w:history="1">
        <w:r w:rsidR="00D01A05" w:rsidRPr="002D158A">
          <w:rPr>
            <w:rStyle w:val="ae"/>
          </w:rPr>
          <w:t>https://doi.org/10.1002/anie.202407007</w:t>
        </w:r>
      </w:hyperlink>
      <w:r w:rsidR="00D01A05">
        <w:rPr>
          <w:rFonts w:eastAsiaTheme="minorEastAsia" w:hint="eastAsia"/>
          <w:lang w:eastAsia="zh-CN"/>
        </w:rPr>
        <w:t xml:space="preserve"> </w:t>
      </w:r>
    </w:p>
    <w:p w14:paraId="2AC72C69" w14:textId="42FBA27E" w:rsidR="00D944A4" w:rsidRPr="00D55E20" w:rsidRDefault="00E35D9D" w:rsidP="006D6FC6">
      <w:pPr>
        <w:spacing w:beforeLines="100" w:before="240" w:afterLines="100" w:after="240" w:line="360" w:lineRule="auto"/>
        <w:ind w:left="420" w:hanging="420"/>
        <w:rPr>
          <w:rFonts w:eastAsiaTheme="minorEastAsia" w:hint="eastAsia"/>
          <w:lang w:eastAsia="zh-CN"/>
        </w:rPr>
      </w:pPr>
      <w:r w:rsidRPr="006D6FC6">
        <w:t xml:space="preserve">[13] J. Song, C. Zhang, C. Li, J. Qiao, J. Yu et al., Non-halogenated solvent-processed organic solar cells with approaching 20% efficiency and improved photostability. Angew. Chem. Int. Ed. </w:t>
      </w:r>
      <w:r w:rsidRPr="006D6FC6">
        <w:rPr>
          <w:b/>
        </w:rPr>
        <w:t>63</w:t>
      </w:r>
      <w:r w:rsidRPr="006D6FC6">
        <w:t xml:space="preserve">(22), e202404297 (2024). </w:t>
      </w:r>
      <w:hyperlink r:id="rId24" w:history="1">
        <w:r w:rsidR="00D01A05" w:rsidRPr="002D158A">
          <w:rPr>
            <w:rStyle w:val="ae"/>
          </w:rPr>
          <w:t>https://doi.org/10.1002/anie.202404297</w:t>
        </w:r>
      </w:hyperlink>
      <w:r w:rsidR="00D01A05">
        <w:rPr>
          <w:rFonts w:eastAsiaTheme="minorEastAsia" w:hint="eastAsia"/>
          <w:lang w:eastAsia="zh-CN"/>
        </w:rPr>
        <w:t xml:space="preserve"> </w:t>
      </w:r>
    </w:p>
    <w:p w14:paraId="30EBF586" w14:textId="532AF37D" w:rsidR="00D944A4" w:rsidRPr="00D55E20" w:rsidRDefault="00E35D9D" w:rsidP="006D6FC6">
      <w:pPr>
        <w:spacing w:beforeLines="100" w:before="240" w:afterLines="100" w:after="240" w:line="360" w:lineRule="auto"/>
        <w:ind w:left="420" w:hanging="420"/>
        <w:rPr>
          <w:rFonts w:eastAsiaTheme="minorEastAsia" w:hint="eastAsia"/>
          <w:lang w:eastAsia="zh-CN"/>
        </w:rPr>
      </w:pPr>
      <w:r w:rsidRPr="006D6FC6">
        <w:t xml:space="preserve">[14] J. Fu, Q. Yang, P. Huang, S. Chung, K. Cho et al., Rational molecular and device design enables organic solar cells approaching 20% efficiency. Nat. Commun. </w:t>
      </w:r>
      <w:r w:rsidRPr="006D6FC6">
        <w:rPr>
          <w:b/>
        </w:rPr>
        <w:t>15</w:t>
      </w:r>
      <w:r w:rsidRPr="006D6FC6">
        <w:t xml:space="preserve">, 1830 (2024). </w:t>
      </w:r>
      <w:hyperlink r:id="rId25" w:history="1">
        <w:r w:rsidR="00D01A05" w:rsidRPr="00D01A05">
          <w:rPr>
            <w:rStyle w:val="ae"/>
          </w:rPr>
          <w:t>https://doi.org/10.1038/s41467-024-46022-</w:t>
        </w:r>
        <w:r w:rsidR="00D01A05" w:rsidRPr="002D158A">
          <w:rPr>
            <w:rStyle w:val="ae"/>
          </w:rPr>
          <w:t>3</w:t>
        </w:r>
      </w:hyperlink>
      <w:r w:rsidR="00D01A05">
        <w:rPr>
          <w:rFonts w:eastAsiaTheme="minorEastAsia" w:hint="eastAsia"/>
          <w:lang w:eastAsia="zh-CN"/>
        </w:rPr>
        <w:t xml:space="preserve"> </w:t>
      </w:r>
    </w:p>
    <w:p w14:paraId="7FF3EB13" w14:textId="2E8D5A13" w:rsidR="00D944A4" w:rsidRPr="00D55E20" w:rsidRDefault="00E35D9D" w:rsidP="006D6FC6">
      <w:pPr>
        <w:spacing w:beforeLines="100" w:before="240" w:afterLines="100" w:after="240" w:line="360" w:lineRule="auto"/>
        <w:ind w:left="420" w:hanging="420"/>
        <w:rPr>
          <w:rFonts w:eastAsiaTheme="minorEastAsia" w:hint="eastAsia"/>
          <w:lang w:eastAsia="zh-CN"/>
        </w:rPr>
      </w:pPr>
      <w:r w:rsidRPr="006D6FC6">
        <w:t xml:space="preserve">[15] C. Chen, L. Wang, W. Xia, K. Qiu, C. Guo et al., Molecular interaction induced dual fibrils towards organic solar cells with certified efficiency over 20. Nat. Commun. </w:t>
      </w:r>
      <w:r w:rsidRPr="006D6FC6">
        <w:rPr>
          <w:b/>
        </w:rPr>
        <w:t>15</w:t>
      </w:r>
      <w:r w:rsidRPr="006D6FC6">
        <w:t xml:space="preserve">(1), 6865 (2024). </w:t>
      </w:r>
      <w:hyperlink r:id="rId26" w:history="1">
        <w:r w:rsidR="00D01A05" w:rsidRPr="00D01A05">
          <w:rPr>
            <w:rStyle w:val="ae"/>
          </w:rPr>
          <w:t>https://doi.org/10.1038/s41467-024-51359-</w:t>
        </w:r>
        <w:r w:rsidR="00D01A05" w:rsidRPr="002D158A">
          <w:rPr>
            <w:rStyle w:val="ae"/>
          </w:rPr>
          <w:t>w</w:t>
        </w:r>
      </w:hyperlink>
      <w:r w:rsidR="00D01A05">
        <w:rPr>
          <w:rFonts w:eastAsiaTheme="minorEastAsia" w:hint="eastAsia"/>
          <w:lang w:eastAsia="zh-CN"/>
        </w:rPr>
        <w:t xml:space="preserve"> </w:t>
      </w:r>
    </w:p>
    <w:p w14:paraId="239F4AAA" w14:textId="7CB1E883" w:rsidR="00D944A4" w:rsidRPr="00D55E20" w:rsidRDefault="00E35D9D" w:rsidP="006D6FC6">
      <w:pPr>
        <w:spacing w:beforeLines="100" w:before="240" w:afterLines="100" w:after="240" w:line="360" w:lineRule="auto"/>
        <w:ind w:left="420" w:hanging="420"/>
        <w:rPr>
          <w:rFonts w:eastAsiaTheme="minorEastAsia" w:hint="eastAsia"/>
          <w:lang w:eastAsia="zh-CN"/>
        </w:rPr>
      </w:pPr>
      <w:r w:rsidRPr="006D6FC6">
        <w:t xml:space="preserve">[16] Z. Chen, J. Ge, W. Song, X. Tong, H. Liu et al., 20.2% efficiency organic photovoltaics employing a π-extension quinoxaline-based acceptor with ordered arrangement. Adv. Mater. </w:t>
      </w:r>
      <w:r w:rsidRPr="006D6FC6">
        <w:rPr>
          <w:b/>
        </w:rPr>
        <w:t>36</w:t>
      </w:r>
      <w:r w:rsidRPr="006D6FC6">
        <w:t xml:space="preserve">(33), 2406690 (2024). </w:t>
      </w:r>
      <w:hyperlink r:id="rId27" w:history="1">
        <w:r w:rsidR="00D01A05" w:rsidRPr="002D158A">
          <w:rPr>
            <w:rStyle w:val="ae"/>
          </w:rPr>
          <w:t>https://doi.org/10.1002/adma.202406690</w:t>
        </w:r>
      </w:hyperlink>
      <w:r w:rsidR="00D01A05">
        <w:rPr>
          <w:rFonts w:eastAsiaTheme="minorEastAsia" w:hint="eastAsia"/>
          <w:lang w:eastAsia="zh-CN"/>
        </w:rPr>
        <w:t xml:space="preserve"> </w:t>
      </w:r>
    </w:p>
    <w:p w14:paraId="635E595B" w14:textId="7389E997" w:rsidR="00D944A4" w:rsidRPr="00D55E20" w:rsidRDefault="00E35D9D" w:rsidP="006D6FC6">
      <w:pPr>
        <w:spacing w:beforeLines="100" w:before="240" w:afterLines="100" w:after="240" w:line="360" w:lineRule="auto"/>
        <w:ind w:left="420" w:hanging="420"/>
        <w:rPr>
          <w:rFonts w:eastAsiaTheme="minorEastAsia" w:hint="eastAsia"/>
          <w:lang w:eastAsia="zh-CN"/>
        </w:rPr>
      </w:pPr>
      <w:r w:rsidRPr="006D6FC6">
        <w:t xml:space="preserve">[17] C. Guo, Y. Sun, L. Wang, C. Liu, C. Chen et al., Light-induced quinone conformation of polymer donors toward 19.9% efficiency organic solar cells. Energy Environ. Sci. </w:t>
      </w:r>
      <w:r w:rsidRPr="006D6FC6">
        <w:rPr>
          <w:b/>
        </w:rPr>
        <w:t>17</w:t>
      </w:r>
      <w:r w:rsidRPr="006D6FC6">
        <w:t xml:space="preserve">(7), 2492–2499 (2024). </w:t>
      </w:r>
      <w:hyperlink r:id="rId28" w:history="1">
        <w:r w:rsidR="00D01A05" w:rsidRPr="00D01A05">
          <w:rPr>
            <w:rStyle w:val="ae"/>
          </w:rPr>
          <w:t>https://doi.org/10.1039/D4EE00605</w:t>
        </w:r>
        <w:r w:rsidR="00D01A05" w:rsidRPr="002D158A">
          <w:rPr>
            <w:rStyle w:val="ae"/>
          </w:rPr>
          <w:t>D</w:t>
        </w:r>
      </w:hyperlink>
      <w:r w:rsidR="00D01A05">
        <w:rPr>
          <w:rFonts w:eastAsiaTheme="minorEastAsia" w:hint="eastAsia"/>
          <w:lang w:eastAsia="zh-CN"/>
        </w:rPr>
        <w:t xml:space="preserve"> </w:t>
      </w:r>
    </w:p>
    <w:p w14:paraId="02E353CA" w14:textId="2D206650" w:rsidR="00D944A4" w:rsidRPr="00D55E20" w:rsidRDefault="00E35D9D" w:rsidP="006D6FC6">
      <w:pPr>
        <w:spacing w:beforeLines="100" w:before="240" w:afterLines="100" w:after="240" w:line="360" w:lineRule="auto"/>
        <w:ind w:left="420" w:hanging="420"/>
        <w:rPr>
          <w:rFonts w:eastAsiaTheme="minorEastAsia" w:hint="eastAsia"/>
          <w:lang w:eastAsia="zh-CN"/>
        </w:rPr>
      </w:pPr>
      <w:r w:rsidRPr="006D6FC6">
        <w:t xml:space="preserve">[18] Wei, N, Chen, J, Cheng, Y, Bian, Z, Liu, W et al, Constructing multiscale fibrous morphology to achieve 20% efficiency organic solar cells by mixing high and low molecular weight D18. Adv. Mater. </w:t>
      </w:r>
      <w:r w:rsidRPr="006D6FC6">
        <w:rPr>
          <w:b/>
        </w:rPr>
        <w:t>36</w:t>
      </w:r>
      <w:r w:rsidRPr="006D6FC6">
        <w:t xml:space="preserve">(41), e2408934 (2024). </w:t>
      </w:r>
      <w:hyperlink r:id="rId29" w:history="1">
        <w:r w:rsidR="00D01A05" w:rsidRPr="002D158A">
          <w:rPr>
            <w:rStyle w:val="ae"/>
          </w:rPr>
          <w:t>https://doi.org/10.1002/adma.202408934</w:t>
        </w:r>
      </w:hyperlink>
      <w:r w:rsidR="00D01A05">
        <w:rPr>
          <w:rFonts w:eastAsiaTheme="minorEastAsia" w:hint="eastAsia"/>
          <w:lang w:eastAsia="zh-CN"/>
        </w:rPr>
        <w:t xml:space="preserve"> </w:t>
      </w:r>
    </w:p>
    <w:p w14:paraId="04204AAA" w14:textId="1C83C1A4" w:rsidR="00D944A4" w:rsidRPr="00D55E20" w:rsidRDefault="00E35D9D" w:rsidP="006D6FC6">
      <w:pPr>
        <w:spacing w:beforeLines="100" w:before="240" w:afterLines="100" w:after="240" w:line="360" w:lineRule="auto"/>
        <w:ind w:left="420" w:hanging="420"/>
        <w:rPr>
          <w:rFonts w:eastAsiaTheme="minorEastAsia" w:hint="eastAsia"/>
          <w:lang w:eastAsia="zh-CN"/>
        </w:rPr>
      </w:pPr>
      <w:r w:rsidRPr="006D6FC6">
        <w:t xml:space="preserve">[19] R. Zeng, M. Zhang, X. Wang, L. Zhu, B. Hao et al., Achieving 19% efficiency in non-fused ring electron acceptor solar cells </w:t>
      </w:r>
      <w:r w:rsidRPr="006D6FC6">
        <w:rPr>
          <w:i/>
        </w:rPr>
        <w:t>via</w:t>
      </w:r>
      <w:r w:rsidRPr="006D6FC6">
        <w:t xml:space="preserve"> solubility control of donor and acceptor crystallization. Nat. Energy </w:t>
      </w:r>
      <w:r w:rsidRPr="006D6FC6">
        <w:rPr>
          <w:b/>
        </w:rPr>
        <w:t>9</w:t>
      </w:r>
      <w:r w:rsidRPr="006D6FC6">
        <w:t xml:space="preserve">(9), 1117–1128 (2024). </w:t>
      </w:r>
      <w:hyperlink r:id="rId30" w:history="1">
        <w:r w:rsidR="00D01A05" w:rsidRPr="00D01A05">
          <w:rPr>
            <w:rStyle w:val="ae"/>
          </w:rPr>
          <w:t>https://doi.org/10.1038/s41560-024-01564-</w:t>
        </w:r>
        <w:r w:rsidR="00D01A05" w:rsidRPr="002D158A">
          <w:rPr>
            <w:rStyle w:val="ae"/>
          </w:rPr>
          <w:t>0</w:t>
        </w:r>
      </w:hyperlink>
      <w:r w:rsidR="00D01A05">
        <w:rPr>
          <w:rFonts w:eastAsiaTheme="minorEastAsia" w:hint="eastAsia"/>
          <w:lang w:eastAsia="zh-CN"/>
        </w:rPr>
        <w:t xml:space="preserve"> </w:t>
      </w:r>
    </w:p>
    <w:p w14:paraId="537B2F1C" w14:textId="71B558EA" w:rsidR="00D944A4" w:rsidRPr="00D55E20" w:rsidRDefault="00E35D9D" w:rsidP="006D6FC6">
      <w:pPr>
        <w:spacing w:beforeLines="100" w:before="240" w:afterLines="100" w:after="240" w:line="360" w:lineRule="auto"/>
        <w:ind w:left="420" w:hanging="420"/>
        <w:rPr>
          <w:rFonts w:eastAsiaTheme="minorEastAsia" w:hint="eastAsia"/>
          <w:lang w:eastAsia="zh-CN"/>
        </w:rPr>
      </w:pPr>
      <w:r w:rsidRPr="006D6FC6">
        <w:t xml:space="preserve">[20] K. Liu, Y. Jiang, F. Liu, G. Ran, F. Huang et al., Organic solar cells with over 19% efficiency enabled by a 2D-conjugated non-fullerene acceptor featuring favorable electronic and aggregation structures. Adv. Mater. </w:t>
      </w:r>
      <w:r w:rsidRPr="006D6FC6">
        <w:rPr>
          <w:b/>
        </w:rPr>
        <w:t>35</w:t>
      </w:r>
      <w:r w:rsidRPr="006D6FC6">
        <w:t xml:space="preserve">(32), e2300363 (2023). </w:t>
      </w:r>
      <w:hyperlink r:id="rId31" w:history="1">
        <w:r w:rsidR="00D01A05" w:rsidRPr="002D158A">
          <w:rPr>
            <w:rStyle w:val="ae"/>
          </w:rPr>
          <w:t>https://doi.org/10.1002/adma.202300363</w:t>
        </w:r>
      </w:hyperlink>
      <w:r w:rsidR="00D01A05">
        <w:rPr>
          <w:rFonts w:eastAsiaTheme="minorEastAsia" w:hint="eastAsia"/>
          <w:lang w:eastAsia="zh-CN"/>
        </w:rPr>
        <w:t xml:space="preserve"> </w:t>
      </w:r>
    </w:p>
    <w:p w14:paraId="5003A959" w14:textId="6C12FAE6" w:rsidR="00D944A4" w:rsidRPr="00D55E20" w:rsidRDefault="00E35D9D" w:rsidP="006D6FC6">
      <w:pPr>
        <w:spacing w:beforeLines="100" w:before="240" w:afterLines="100" w:after="240" w:line="360" w:lineRule="auto"/>
        <w:ind w:left="420" w:hanging="420"/>
        <w:rPr>
          <w:rFonts w:eastAsiaTheme="minorEastAsia" w:hint="eastAsia"/>
          <w:lang w:eastAsia="zh-CN"/>
        </w:rPr>
      </w:pPr>
      <w:r w:rsidRPr="006D6FC6">
        <w:t xml:space="preserve">[21] J. Ren, S. Zhang, Z. Chen, T. Zhang, J. Qiao et al., Optimizing molecular packing </w:t>
      </w:r>
      <w:r w:rsidRPr="006D6FC6">
        <w:rPr>
          <w:i/>
        </w:rPr>
        <w:t>via</w:t>
      </w:r>
      <w:r w:rsidRPr="006D6FC6">
        <w:t xml:space="preserve"> steric hindrance for reducing non-radiative recombination in organic solar cells. Angew. Chem. Int. Ed. </w:t>
      </w:r>
      <w:r w:rsidRPr="006D6FC6">
        <w:rPr>
          <w:b/>
        </w:rPr>
        <w:t>63</w:t>
      </w:r>
      <w:r w:rsidRPr="006D6FC6">
        <w:t xml:space="preserve">(30), e202406153 (2024). </w:t>
      </w:r>
      <w:hyperlink r:id="rId32" w:history="1">
        <w:r w:rsidR="00D01A05" w:rsidRPr="002D158A">
          <w:rPr>
            <w:rStyle w:val="ae"/>
          </w:rPr>
          <w:t>https://doi.org/10.1002/anie.202406153</w:t>
        </w:r>
      </w:hyperlink>
      <w:r w:rsidR="00D01A05">
        <w:rPr>
          <w:rFonts w:eastAsiaTheme="minorEastAsia" w:hint="eastAsia"/>
          <w:lang w:eastAsia="zh-CN"/>
        </w:rPr>
        <w:t xml:space="preserve"> </w:t>
      </w:r>
    </w:p>
    <w:p w14:paraId="358037D2" w14:textId="0660E1F4"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[22] S. Chen, S. Zhu, L. Hong, W. Deng, Y. Zhang et al., Binary organic solar cells with over 19 % efficiency and enhanced morphology stability enabled by asymmetric acceptors. Angew. Chem. Int. Ed. </w:t>
      </w:r>
      <w:r w:rsidRPr="006D6FC6">
        <w:rPr>
          <w:b/>
        </w:rPr>
        <w:t>63</w:t>
      </w:r>
      <w:r w:rsidRPr="006D6FC6">
        <w:t xml:space="preserve">(12), e202318756 (2024). </w:t>
      </w:r>
      <w:hyperlink r:id="rId33" w:history="1">
        <w:r w:rsidR="00D01A05" w:rsidRPr="002D158A">
          <w:rPr>
            <w:rStyle w:val="ae"/>
          </w:rPr>
          <w:t>https://doi.org/10.1002/anie.202318756</w:t>
        </w:r>
      </w:hyperlink>
      <w:r w:rsidR="00D01A05">
        <w:rPr>
          <w:rFonts w:eastAsiaTheme="minorEastAsia" w:hint="eastAsia"/>
          <w:lang w:eastAsia="zh-CN"/>
        </w:rPr>
        <w:t xml:space="preserve"> </w:t>
      </w:r>
    </w:p>
    <w:p w14:paraId="31A95A51" w14:textId="1507F606"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[23] W. Gao, R. Ma, L. Zhu, L. Li, F.R. Lin et al., 3D crystal framework regulation enables Se-functionalized small molecule acceptors achieve over 19% efficiency. Adv. Energy Mater. </w:t>
      </w:r>
      <w:r w:rsidRPr="006D6FC6">
        <w:rPr>
          <w:b/>
        </w:rPr>
        <w:t>14</w:t>
      </w:r>
      <w:r w:rsidRPr="006D6FC6">
        <w:t xml:space="preserve">(19), 2304477 (2024). </w:t>
      </w:r>
      <w:hyperlink r:id="rId34" w:history="1">
        <w:r w:rsidR="00D01A05" w:rsidRPr="002D158A">
          <w:rPr>
            <w:rStyle w:val="ae"/>
          </w:rPr>
          <w:t>https://doi.org/10.1002/aenm.202304477</w:t>
        </w:r>
      </w:hyperlink>
      <w:r w:rsidR="00D01A05">
        <w:rPr>
          <w:rFonts w:eastAsiaTheme="minorEastAsia" w:hint="eastAsia"/>
          <w:lang w:eastAsia="zh-CN"/>
        </w:rPr>
        <w:t xml:space="preserve"> </w:t>
      </w:r>
    </w:p>
    <w:p w14:paraId="62FD9330" w14:textId="3916DFBD"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[24] C.-Z. Sun, X. Lai, T. Rehman, H. Lai, C. Ke et al., Benzonitrile-functionalized non-fullerene acceptors for organic solar cells with low non-radiative loss. J. Mater. Chem. C </w:t>
      </w:r>
      <w:r w:rsidRPr="006D6FC6">
        <w:rPr>
          <w:b/>
        </w:rPr>
        <w:t>10</w:t>
      </w:r>
      <w:r w:rsidRPr="006D6FC6">
        <w:t xml:space="preserve">(45), 17174–17181 (2022). </w:t>
      </w:r>
      <w:hyperlink r:id="rId35" w:history="1">
        <w:r w:rsidR="00D01A05" w:rsidRPr="00D01A05">
          <w:rPr>
            <w:rStyle w:val="ae"/>
          </w:rPr>
          <w:t>https://doi.org/10.1039/D2TC03701</w:t>
        </w:r>
        <w:r w:rsidR="00D01A05" w:rsidRPr="002D158A">
          <w:rPr>
            <w:rStyle w:val="ae"/>
          </w:rPr>
          <w:t>G</w:t>
        </w:r>
      </w:hyperlink>
      <w:r w:rsidR="00D01A05">
        <w:rPr>
          <w:rFonts w:eastAsiaTheme="minorEastAsia" w:hint="eastAsia"/>
          <w:lang w:eastAsia="zh-CN"/>
        </w:rPr>
        <w:t xml:space="preserve"> </w:t>
      </w:r>
    </w:p>
    <w:p w14:paraId="52D48D0D" w14:textId="7034804D"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[25] X. Zhao, Q. An, H. Zhang, C. Yang, A. Mahmood et al., Double asymmetric core optimizes crystal packing to enable selenophene-based acceptor with over 18 % efficiency in binary organic solar cells. Angew. Chem. Int. Ed. </w:t>
      </w:r>
      <w:r w:rsidRPr="006D6FC6">
        <w:rPr>
          <w:b/>
        </w:rPr>
        <w:t>62</w:t>
      </w:r>
      <w:r w:rsidRPr="006D6FC6">
        <w:t xml:space="preserve">(10), e202216340 (2023). </w:t>
      </w:r>
      <w:hyperlink r:id="rId36" w:history="1">
        <w:r w:rsidR="00D01A05" w:rsidRPr="002D158A">
          <w:rPr>
            <w:rStyle w:val="ae"/>
          </w:rPr>
          <w:t>https://doi.org/10.1002/anie.202216340</w:t>
        </w:r>
      </w:hyperlink>
      <w:r w:rsidR="00D01A05">
        <w:rPr>
          <w:rFonts w:eastAsiaTheme="minorEastAsia" w:hint="eastAsia"/>
          <w:lang w:eastAsia="zh-CN"/>
        </w:rPr>
        <w:t xml:space="preserve"> </w:t>
      </w:r>
    </w:p>
    <w:p w14:paraId="77A4859F" w14:textId="73D5DB1D"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[26] H. Liang, H. Chen, Y. Zou, Y. Zhang, Y. Guo et al., Central unit hetero-di-halogenation of acceptors enables organic solar cells with 19% efficiency. Chem. Commun. </w:t>
      </w:r>
      <w:r w:rsidRPr="006D6FC6">
        <w:rPr>
          <w:b/>
        </w:rPr>
        <w:t>59</w:t>
      </w:r>
      <w:r w:rsidRPr="006D6FC6">
        <w:t xml:space="preserve">(89), 13367–13370 (2023). </w:t>
      </w:r>
      <w:hyperlink r:id="rId37" w:history="1">
        <w:r w:rsidR="00D01A05" w:rsidRPr="00D01A05">
          <w:rPr>
            <w:rStyle w:val="ae"/>
          </w:rPr>
          <w:t>https://doi.org/10.1039/D3CC04570</w:t>
        </w:r>
        <w:r w:rsidR="00D01A05" w:rsidRPr="002D158A">
          <w:rPr>
            <w:rStyle w:val="ae"/>
          </w:rPr>
          <w:t>F</w:t>
        </w:r>
      </w:hyperlink>
      <w:r w:rsidR="00D01A05">
        <w:rPr>
          <w:rFonts w:eastAsiaTheme="minorEastAsia" w:hint="eastAsia"/>
          <w:lang w:eastAsia="zh-CN"/>
        </w:rPr>
        <w:t xml:space="preserve"> </w:t>
      </w:r>
    </w:p>
    <w:p w14:paraId="4BC5FDF5" w14:textId="3CD2D9FC"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[27] P. Bi, S. Zhang, Z. Chen, Y. Xu, Y. Cui et al., Reduced non-radiative charge recombination enables organic photovoltaic cell approaching 19% efficiency. Joule </w:t>
      </w:r>
      <w:r w:rsidRPr="006D6FC6">
        <w:rPr>
          <w:b/>
        </w:rPr>
        <w:t>5</w:t>
      </w:r>
      <w:r w:rsidRPr="006D6FC6">
        <w:t xml:space="preserve">(9), 2408–2419 (2021). </w:t>
      </w:r>
      <w:hyperlink r:id="rId38" w:history="1">
        <w:r w:rsidR="00D01A05" w:rsidRPr="002D158A">
          <w:rPr>
            <w:rStyle w:val="ae"/>
          </w:rPr>
          <w:t>https://doi.org/10.1016/j.joule.2021.06.020</w:t>
        </w:r>
      </w:hyperlink>
      <w:r w:rsidR="00D01A05">
        <w:rPr>
          <w:rFonts w:eastAsiaTheme="minorEastAsia" w:hint="eastAsia"/>
          <w:lang w:eastAsia="zh-CN"/>
        </w:rPr>
        <w:t xml:space="preserve"> </w:t>
      </w:r>
    </w:p>
    <w:p w14:paraId="668357EA" w14:textId="44839E39"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[28] H. Zhang, Y. Liu, G. Ran, H. Li, W. Zhang et al., Sequentially processed bulk-heterojunction-buried structure for efficient organic solar cells with 500 nm thickness. Adv. Mater. </w:t>
      </w:r>
      <w:r w:rsidRPr="006D6FC6">
        <w:rPr>
          <w:b/>
        </w:rPr>
        <w:t>36</w:t>
      </w:r>
      <w:r w:rsidRPr="006D6FC6">
        <w:t xml:space="preserve">(25), 2400521 (2024). </w:t>
      </w:r>
      <w:hyperlink r:id="rId39" w:history="1">
        <w:r w:rsidR="00D01A05" w:rsidRPr="002D158A">
          <w:rPr>
            <w:rStyle w:val="ae"/>
          </w:rPr>
          <w:t>https://doi.org/10.1002/adma.202400521</w:t>
        </w:r>
      </w:hyperlink>
      <w:r w:rsidR="00D01A05">
        <w:rPr>
          <w:rFonts w:eastAsiaTheme="minorEastAsia" w:hint="eastAsia"/>
          <w:lang w:eastAsia="zh-CN"/>
        </w:rPr>
        <w:t xml:space="preserve"> </w:t>
      </w:r>
    </w:p>
    <w:p w14:paraId="318AE432" w14:textId="211B6085"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[29] X. Wang, H. Lu, Y. Liu, A. Zhang, N. Yu et al., Simple nonfused ring electron acceptors with 3D network packing structure boosting the efficiency of organic solar cells to 15.44%. Adv. Energy Mater. </w:t>
      </w:r>
      <w:r w:rsidRPr="006D6FC6">
        <w:rPr>
          <w:b/>
        </w:rPr>
        <w:t>11</w:t>
      </w:r>
      <w:r w:rsidRPr="006D6FC6">
        <w:t xml:space="preserve">(45), 2102591 (2021). </w:t>
      </w:r>
      <w:hyperlink r:id="rId40" w:history="1">
        <w:r w:rsidR="00D01A05" w:rsidRPr="002D158A">
          <w:rPr>
            <w:rStyle w:val="ae"/>
          </w:rPr>
          <w:t>https://doi.org/10.1002/aenm.202102591</w:t>
        </w:r>
      </w:hyperlink>
      <w:r w:rsidR="00D01A05">
        <w:rPr>
          <w:rFonts w:eastAsiaTheme="minorEastAsia" w:hint="eastAsia"/>
          <w:lang w:eastAsia="zh-CN"/>
        </w:rPr>
        <w:t xml:space="preserve"> </w:t>
      </w:r>
    </w:p>
    <w:p w14:paraId="20217F33" w14:textId="70EB858E"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[30] Y. Liu, Z. Zhang, S. Feng, M. Li, L. Wu et al., Exploiting noncovalently conformational locking as a design strategy for high performance fused-ring electron acceptor used in polymer solar cells. J. Am. Chem. Soc. </w:t>
      </w:r>
      <w:r w:rsidRPr="006D6FC6">
        <w:rPr>
          <w:b/>
        </w:rPr>
        <w:t>139</w:t>
      </w:r>
      <w:r w:rsidRPr="006D6FC6">
        <w:t xml:space="preserve">(9), 3356–3359 (2017). </w:t>
      </w:r>
      <w:hyperlink r:id="rId41" w:history="1">
        <w:r w:rsidR="00D01A05" w:rsidRPr="002D158A">
          <w:rPr>
            <w:rStyle w:val="ae"/>
          </w:rPr>
          <w:t>https://doi.org/10.1021/jacs.7b00566</w:t>
        </w:r>
      </w:hyperlink>
      <w:r w:rsidR="00D01A05">
        <w:rPr>
          <w:rFonts w:eastAsiaTheme="minorEastAsia" w:hint="eastAsia"/>
          <w:lang w:eastAsia="zh-CN"/>
        </w:rPr>
        <w:t xml:space="preserve"> </w:t>
      </w:r>
    </w:p>
    <w:p w14:paraId="548B8FF7" w14:textId="7F28441C"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[31] Y. Wang, Z. Liu, X. Cui, C. Wang, H. Lu et al., Small molecule acceptors with a ladder-like core for high-performance organic solar cells with low non-radiative energy losses. J. Mater. Chem. A </w:t>
      </w:r>
      <w:r w:rsidRPr="006D6FC6">
        <w:rPr>
          <w:b/>
        </w:rPr>
        <w:t>8</w:t>
      </w:r>
      <w:r w:rsidRPr="006D6FC6">
        <w:t xml:space="preserve">(25), 12495–12501 (2020). </w:t>
      </w:r>
      <w:hyperlink r:id="rId42" w:history="1">
        <w:r w:rsidR="00D01A05" w:rsidRPr="00D01A05">
          <w:rPr>
            <w:rStyle w:val="ae"/>
          </w:rPr>
          <w:t>https://doi.org/10.1039/D0TA03683</w:t>
        </w:r>
        <w:r w:rsidR="00D01A05" w:rsidRPr="002D158A">
          <w:rPr>
            <w:rStyle w:val="ae"/>
          </w:rPr>
          <w:t>H</w:t>
        </w:r>
      </w:hyperlink>
      <w:r w:rsidR="00D01A05">
        <w:rPr>
          <w:rFonts w:eastAsiaTheme="minorEastAsia" w:hint="eastAsia"/>
          <w:lang w:eastAsia="zh-CN"/>
        </w:rPr>
        <w:t xml:space="preserve"> </w:t>
      </w:r>
    </w:p>
    <w:p w14:paraId="696D9743" w14:textId="6CF2F515"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[32] Z. Han, C.-E. Zhang, T. He, J. Gao, Y. Hou et al., Precisely manipulating molecular packing </w:t>
      </w:r>
      <w:r w:rsidRPr="006D6FC6">
        <w:rPr>
          <w:i/>
        </w:rPr>
        <w:t>via</w:t>
      </w:r>
      <w:r w:rsidRPr="006D6FC6">
        <w:t xml:space="preserve"> tuning alkyl side-chain topology enabling high-performance nonfused-ring electron acceptors. Angew. Chem. Int. Ed. </w:t>
      </w:r>
      <w:r w:rsidRPr="006D6FC6">
        <w:rPr>
          <w:b/>
        </w:rPr>
        <w:t>63</w:t>
      </w:r>
      <w:r w:rsidRPr="006D6FC6">
        <w:t xml:space="preserve">(10), e202318143 (2024). </w:t>
      </w:r>
      <w:hyperlink r:id="rId43" w:history="1">
        <w:r w:rsidR="00D01A05" w:rsidRPr="002D158A">
          <w:rPr>
            <w:rStyle w:val="ae"/>
          </w:rPr>
          <w:t>https://doi.org/10.1002/anie.202318143</w:t>
        </w:r>
      </w:hyperlink>
      <w:r w:rsidR="00D01A05">
        <w:rPr>
          <w:rFonts w:eastAsiaTheme="minorEastAsia" w:hint="eastAsia"/>
          <w:lang w:eastAsia="zh-CN"/>
        </w:rPr>
        <w:t xml:space="preserve"> </w:t>
      </w:r>
    </w:p>
    <w:p w14:paraId="12ED9760" w14:textId="791054BC" w:rsidR="00D944A4" w:rsidRPr="00D55E20" w:rsidRDefault="00946080" w:rsidP="006D6FC6">
      <w:pPr>
        <w:spacing w:beforeLines="100" w:before="240" w:afterLines="100" w:after="240" w:line="360" w:lineRule="auto"/>
        <w:ind w:left="420" w:hanging="420"/>
        <w:rPr>
          <w:rFonts w:eastAsiaTheme="minorEastAsia" w:hint="eastAsia"/>
          <w:lang w:eastAsia="zh-CN"/>
        </w:rPr>
      </w:pPr>
      <w:r w:rsidRPr="006D6FC6">
        <w:t xml:space="preserve">[33] X. Liu, Y. Wei, X. Zhang, L. Qin, Z. Wei et al., An A-D-a’-D-a type unfused nonfullerene acceptor for organic solar cells with approaching 14% efficiency. Sci. China Chem. </w:t>
      </w:r>
      <w:r w:rsidRPr="006D6FC6">
        <w:rPr>
          <w:b/>
        </w:rPr>
        <w:t>64</w:t>
      </w:r>
      <w:r w:rsidRPr="006D6FC6">
        <w:t xml:space="preserve">(2), 228–231 (2021). </w:t>
      </w:r>
      <w:hyperlink r:id="rId44" w:history="1">
        <w:r w:rsidR="00D01A05" w:rsidRPr="00D01A05">
          <w:rPr>
            <w:rStyle w:val="ae"/>
          </w:rPr>
          <w:t>https://doi.org/10.1007/s11426-020-9868-</w:t>
        </w:r>
        <w:r w:rsidR="00D01A05" w:rsidRPr="002D158A">
          <w:rPr>
            <w:rStyle w:val="ae"/>
          </w:rPr>
          <w:t>8</w:t>
        </w:r>
      </w:hyperlink>
      <w:r w:rsidR="00D01A05">
        <w:rPr>
          <w:rFonts w:eastAsiaTheme="minorEastAsia" w:hint="eastAsia"/>
          <w:lang w:eastAsia="zh-CN"/>
        </w:rPr>
        <w:t xml:space="preserve"> </w:t>
      </w:r>
    </w:p>
    <w:p w14:paraId="3C252529" w14:textId="229EC38A"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[34] Z.-P. Yu, Z.-X. Liu, F.-X. Chen, R. Qin, T.-K. Lau et al., Simple non-fused electron acceptors for efficient and stable organic solar cells. Nat. Commun. </w:t>
      </w:r>
      <w:r w:rsidRPr="006D6FC6">
        <w:rPr>
          <w:b/>
        </w:rPr>
        <w:t>10</w:t>
      </w:r>
      <w:r w:rsidRPr="006D6FC6">
        <w:t xml:space="preserve">(1), 2152 (2019). </w:t>
      </w:r>
      <w:hyperlink r:id="rId45" w:history="1">
        <w:r w:rsidR="00D01A05" w:rsidRPr="00D01A05">
          <w:rPr>
            <w:rStyle w:val="ae"/>
          </w:rPr>
          <w:t>https://doi.org/10.1038/s41467-019-10098-</w:t>
        </w:r>
        <w:r w:rsidR="00D01A05" w:rsidRPr="002D158A">
          <w:rPr>
            <w:rStyle w:val="ae"/>
          </w:rPr>
          <w:t>z</w:t>
        </w:r>
      </w:hyperlink>
      <w:r w:rsidR="00D01A05">
        <w:rPr>
          <w:rFonts w:eastAsiaTheme="minorEastAsia" w:hint="eastAsia"/>
          <w:lang w:eastAsia="zh-CN"/>
        </w:rPr>
        <w:t xml:space="preserve"> </w:t>
      </w:r>
    </w:p>
    <w:p w14:paraId="2B173A9B" w14:textId="192183A6"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[35] D. Li, H. Zhang, X. Cui, Y.-N. Chen, N. Wei et al., Halogenated nonfused ring electron acceptor for organic solar cells with a record efficiency of over 17. Adv. Mater. </w:t>
      </w:r>
      <w:r w:rsidRPr="006D6FC6">
        <w:rPr>
          <w:b/>
        </w:rPr>
        <w:t>36</w:t>
      </w:r>
      <w:r w:rsidRPr="006D6FC6">
        <w:t xml:space="preserve">(4), e2310362 (2024). </w:t>
      </w:r>
      <w:hyperlink r:id="rId46" w:history="1">
        <w:r w:rsidR="00D01A05" w:rsidRPr="002D158A">
          <w:rPr>
            <w:rStyle w:val="ae"/>
          </w:rPr>
          <w:t>https://doi.org/10.1002/adma.202310362</w:t>
        </w:r>
      </w:hyperlink>
      <w:r w:rsidR="00D01A05">
        <w:rPr>
          <w:rFonts w:eastAsiaTheme="minorEastAsia" w:hint="eastAsia"/>
          <w:lang w:eastAsia="zh-CN"/>
        </w:rPr>
        <w:t xml:space="preserve"> </w:t>
      </w:r>
    </w:p>
    <w:p w14:paraId="2D58B9BC" w14:textId="4EDD7C82"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[36] Z. Li, X. Wang, N. Zheng, A. Saparbaev, J. Zhang et al., Over 17% efficiency all-small-molecule organic solar cells based on an organic molecular donor employing a 2D side chain symmetry breaking strategy. Energy Environ. Sci. </w:t>
      </w:r>
      <w:r w:rsidRPr="006D6FC6">
        <w:rPr>
          <w:b/>
        </w:rPr>
        <w:t>15</w:t>
      </w:r>
      <w:r w:rsidRPr="006D6FC6">
        <w:t xml:space="preserve">(10), 4338–4348 (2022). </w:t>
      </w:r>
      <w:hyperlink r:id="rId47" w:history="1">
        <w:r w:rsidR="00D01A05" w:rsidRPr="00D01A05">
          <w:rPr>
            <w:rStyle w:val="ae"/>
          </w:rPr>
          <w:t>https://doi.org/10.1039/D2EE02107</w:t>
        </w:r>
        <w:r w:rsidR="00D01A05" w:rsidRPr="002D158A">
          <w:rPr>
            <w:rStyle w:val="ae"/>
          </w:rPr>
          <w:t>B</w:t>
        </w:r>
      </w:hyperlink>
      <w:r w:rsidR="00D01A05">
        <w:rPr>
          <w:rFonts w:eastAsiaTheme="minorEastAsia" w:hint="eastAsia"/>
          <w:lang w:eastAsia="zh-CN"/>
        </w:rPr>
        <w:t xml:space="preserve"> </w:t>
      </w:r>
    </w:p>
    <w:p w14:paraId="5A7A01C1" w14:textId="0478C370"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[37] X. Wang, Z. Li, X. Zheng, C. Xiao, T. Hu et al., High-efficiency all-small-molecule organic solar cells based on new molecule donors with conjugated symmetric/asymmetric hybrid cyclopentyl-hexyl side chains. Adv. Funct. Mater. </w:t>
      </w:r>
      <w:r w:rsidRPr="006D6FC6">
        <w:rPr>
          <w:b/>
        </w:rPr>
        <w:t>33</w:t>
      </w:r>
      <w:r w:rsidRPr="006D6FC6">
        <w:t xml:space="preserve">(24), 2300323 (2023). </w:t>
      </w:r>
      <w:hyperlink r:id="rId48" w:history="1">
        <w:r w:rsidR="00D01A05" w:rsidRPr="002D158A">
          <w:rPr>
            <w:rStyle w:val="ae"/>
          </w:rPr>
          <w:t>https://doi.org/10.1002/adfm.202300323</w:t>
        </w:r>
      </w:hyperlink>
      <w:r w:rsidR="00D01A05">
        <w:rPr>
          <w:rFonts w:eastAsiaTheme="minorEastAsia" w:hint="eastAsia"/>
          <w:lang w:eastAsia="zh-CN"/>
        </w:rPr>
        <w:t xml:space="preserve"> </w:t>
      </w:r>
    </w:p>
    <w:p w14:paraId="53B614E4" w14:textId="6CF09ADD"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[38] H. Lu, X. Wang, S. Li, D. Li, N. Yu et al., Diphenylamine substituted high-performance fully nonfused ring electron acceptors: the effect of isomerism. Chem. Eng. J. </w:t>
      </w:r>
      <w:r w:rsidRPr="006D6FC6">
        <w:rPr>
          <w:b/>
        </w:rPr>
        <w:t>435</w:t>
      </w:r>
      <w:r w:rsidRPr="006D6FC6">
        <w:t xml:space="preserve">, 134987 (2022). </w:t>
      </w:r>
      <w:hyperlink r:id="rId49" w:history="1">
        <w:r w:rsidR="00D01A05" w:rsidRPr="002D158A">
          <w:rPr>
            <w:rStyle w:val="ae"/>
          </w:rPr>
          <w:t>https://doi.org/10.1016/j.cej.2022.134987</w:t>
        </w:r>
      </w:hyperlink>
      <w:r w:rsidR="00D01A05">
        <w:rPr>
          <w:rFonts w:eastAsiaTheme="minorEastAsia" w:hint="eastAsia"/>
          <w:lang w:eastAsia="zh-CN"/>
        </w:rPr>
        <w:t xml:space="preserve"> </w:t>
      </w:r>
    </w:p>
    <w:p w14:paraId="4C5F1A7F" w14:textId="7F225536"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[39] W. Liu, X. Zheng, G. Ran, H. Lu, X. Xu et al., Impact of π–bridge unit in fully nonfused ring electron acceptor on the photovoltaic performance of organic solar cells. Chem. Eng. J. </w:t>
      </w:r>
      <w:r w:rsidRPr="006D6FC6">
        <w:rPr>
          <w:b/>
        </w:rPr>
        <w:t>473</w:t>
      </w:r>
      <w:r w:rsidRPr="006D6FC6">
        <w:t xml:space="preserve">, 145131 (2023). </w:t>
      </w:r>
      <w:hyperlink r:id="rId50" w:history="1">
        <w:r w:rsidR="00D01A05" w:rsidRPr="002D158A">
          <w:rPr>
            <w:rStyle w:val="ae"/>
          </w:rPr>
          <w:t>https://doi.org/10.1016/j.cej.2023.145131</w:t>
        </w:r>
      </w:hyperlink>
      <w:r w:rsidR="00D01A05">
        <w:rPr>
          <w:rFonts w:eastAsiaTheme="minorEastAsia" w:hint="eastAsia"/>
          <w:lang w:eastAsia="zh-CN"/>
        </w:rPr>
        <w:t xml:space="preserve"> </w:t>
      </w:r>
    </w:p>
    <w:p w14:paraId="409F48EC" w14:textId="22F765D5"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[40] X. Wang, R. Zeng, H. Lu, G. Ran, A. Zhang et al., A simple nonfused ring electron acceptor with a power conversion efficiency over 16%. Chin. J. Chem. </w:t>
      </w:r>
      <w:r w:rsidRPr="006D6FC6">
        <w:rPr>
          <w:b/>
        </w:rPr>
        <w:t>41</w:t>
      </w:r>
      <w:r w:rsidRPr="006D6FC6">
        <w:t xml:space="preserve">(6), 665–671 (2023). </w:t>
      </w:r>
      <w:hyperlink r:id="rId51" w:history="1">
        <w:r w:rsidR="00D01A05" w:rsidRPr="002D158A">
          <w:rPr>
            <w:rStyle w:val="ae"/>
          </w:rPr>
          <w:t>https://doi.org/10.1002/cjoc.202200673</w:t>
        </w:r>
      </w:hyperlink>
      <w:r w:rsidR="00D01A05">
        <w:rPr>
          <w:rFonts w:eastAsiaTheme="minorEastAsia" w:hint="eastAsia"/>
          <w:lang w:eastAsia="zh-CN"/>
        </w:rPr>
        <w:t xml:space="preserve"> </w:t>
      </w:r>
    </w:p>
    <w:p w14:paraId="24FCF30F" w14:textId="5A9D5BDF"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[41] D.-L. Ma, Q.-Q. Zhang, C.-Z. Li, Unsymmetrically chlorinated non-fused electron acceptor leads to high-efficiency and stable organic solar cells. Angew. Chem. Int. Ed. </w:t>
      </w:r>
      <w:r w:rsidRPr="006D6FC6">
        <w:rPr>
          <w:b/>
        </w:rPr>
        <w:t>62</w:t>
      </w:r>
      <w:r w:rsidRPr="006D6FC6">
        <w:t xml:space="preserve">(5), e202214931 (2023). </w:t>
      </w:r>
      <w:hyperlink r:id="rId52" w:history="1">
        <w:r w:rsidR="00D01A05" w:rsidRPr="002D158A">
          <w:rPr>
            <w:rStyle w:val="ae"/>
          </w:rPr>
          <w:t>https://doi.org/10.1002/anie.202214931</w:t>
        </w:r>
      </w:hyperlink>
      <w:r w:rsidR="00D01A05">
        <w:rPr>
          <w:rFonts w:eastAsiaTheme="minorEastAsia" w:hint="eastAsia"/>
          <w:lang w:eastAsia="zh-CN"/>
        </w:rPr>
        <w:t xml:space="preserve"> </w:t>
      </w:r>
    </w:p>
    <w:p w14:paraId="60480EFF" w14:textId="06C935D7"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[42] Y. Zhang, C. Zhang, A. Zhang, H. Wu, G. Ran et al., Designing high-performance nonfused ring electron acceptors </w:t>
      </w:r>
      <w:r w:rsidRPr="006D6FC6">
        <w:rPr>
          <w:i/>
        </w:rPr>
        <w:t>via</w:t>
      </w:r>
      <w:r w:rsidRPr="006D6FC6">
        <w:t xml:space="preserve"> synergistically adjusting side chains and electron-withdrawing end-groups. ACS Appl. Mater. Interfaces </w:t>
      </w:r>
      <w:r w:rsidRPr="006D6FC6">
        <w:rPr>
          <w:b/>
        </w:rPr>
        <w:t>14</w:t>
      </w:r>
      <w:r w:rsidRPr="006D6FC6">
        <w:t xml:space="preserve">(18), 21287–21294 (2022). </w:t>
      </w:r>
      <w:hyperlink r:id="rId53" w:history="1">
        <w:r w:rsidR="00D01A05" w:rsidRPr="002D158A">
          <w:rPr>
            <w:rStyle w:val="ae"/>
          </w:rPr>
          <w:t>https://doi.org/10.1021/acsami.2c01190</w:t>
        </w:r>
      </w:hyperlink>
      <w:r w:rsidR="00D01A05">
        <w:rPr>
          <w:rFonts w:eastAsiaTheme="minorEastAsia" w:hint="eastAsia"/>
          <w:lang w:eastAsia="zh-CN"/>
        </w:rPr>
        <w:t xml:space="preserve"> </w:t>
      </w:r>
    </w:p>
    <w:p w14:paraId="2C5B3702" w14:textId="1FDF8544"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[43] Z.-X. Xue, J. Fang, J. Li, D. Zhang, Z.-W. Xu et al., Non-fused molecular photovoltaic acceptor with a planar core structure enabled by bulky and embracing-type side chains. J. Mater. Chem. C </w:t>
      </w:r>
      <w:r w:rsidRPr="006D6FC6">
        <w:rPr>
          <w:b/>
        </w:rPr>
        <w:t>10</w:t>
      </w:r>
      <w:r w:rsidRPr="006D6FC6">
        <w:t xml:space="preserve">(8), 2945–2949 (2022). </w:t>
      </w:r>
      <w:hyperlink r:id="rId54" w:history="1">
        <w:r w:rsidR="00277A4C" w:rsidRPr="00277A4C">
          <w:rPr>
            <w:rStyle w:val="ae"/>
          </w:rPr>
          <w:t>https://doi.org/10.1039/D1TC05550</w:t>
        </w:r>
        <w:r w:rsidR="00277A4C" w:rsidRPr="002D158A">
          <w:rPr>
            <w:rStyle w:val="ae"/>
          </w:rPr>
          <w:t>J</w:t>
        </w:r>
      </w:hyperlink>
      <w:r w:rsidR="00277A4C">
        <w:rPr>
          <w:rFonts w:eastAsiaTheme="minorEastAsia" w:hint="eastAsia"/>
          <w:lang w:eastAsia="zh-CN"/>
        </w:rPr>
        <w:t xml:space="preserve"> </w:t>
      </w:r>
    </w:p>
    <w:p w14:paraId="51FEE8F6" w14:textId="04880B4D"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[44] S. Feng, C.-E. Zhang, Y. Liu, Z. Bi, Z. Zhang et al., Fused-ring acceptors with asymmetric side chains for high-performance thick-film organic solar cells. Adv. Mater. </w:t>
      </w:r>
      <w:r w:rsidRPr="006D6FC6">
        <w:rPr>
          <w:b/>
        </w:rPr>
        <w:t>29</w:t>
      </w:r>
      <w:r w:rsidRPr="006D6FC6">
        <w:t xml:space="preserve">(42), 1703527 (2017). </w:t>
      </w:r>
      <w:hyperlink r:id="rId55" w:history="1">
        <w:r w:rsidR="00277A4C" w:rsidRPr="002D158A">
          <w:rPr>
            <w:rStyle w:val="ae"/>
          </w:rPr>
          <w:t>https://doi.org/10.1002/adma.201703527</w:t>
        </w:r>
      </w:hyperlink>
      <w:r w:rsidR="00277A4C">
        <w:rPr>
          <w:rFonts w:eastAsiaTheme="minorEastAsia" w:hint="eastAsia"/>
          <w:lang w:eastAsia="zh-CN"/>
        </w:rPr>
        <w:t xml:space="preserve"> </w:t>
      </w:r>
    </w:p>
    <w:p w14:paraId="44C7D85F" w14:textId="7651ED7A"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[45] Z. Zhang, D. Li, H. Zhang, X. Ma, Y.-N. Chen et al., An asymmetric A–DA’D–π-a type non-fullerene acceptor for high-performance organic solar cells. J. Mater. Chem. C </w:t>
      </w:r>
      <w:r w:rsidRPr="006D6FC6">
        <w:rPr>
          <w:b/>
        </w:rPr>
        <w:t>10</w:t>
      </w:r>
      <w:r w:rsidRPr="006D6FC6">
        <w:t xml:space="preserve">(7), 2792–2799 (2022). </w:t>
      </w:r>
      <w:hyperlink r:id="rId56" w:history="1">
        <w:r w:rsidR="00277A4C" w:rsidRPr="00277A4C">
          <w:rPr>
            <w:rStyle w:val="ae"/>
          </w:rPr>
          <w:t>https://doi.org/10.1039/D1TC04425</w:t>
        </w:r>
        <w:r w:rsidR="00277A4C" w:rsidRPr="002D158A">
          <w:rPr>
            <w:rStyle w:val="ae"/>
          </w:rPr>
          <w:t>G</w:t>
        </w:r>
      </w:hyperlink>
      <w:r w:rsidR="00277A4C">
        <w:rPr>
          <w:rFonts w:eastAsiaTheme="minorEastAsia" w:hint="eastAsia"/>
          <w:lang w:eastAsia="zh-CN"/>
        </w:rPr>
        <w:t xml:space="preserve"> </w:t>
      </w:r>
    </w:p>
    <w:p w14:paraId="1695E060" w14:textId="4A9599F5"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[46] Y. Wang, C. Gao, W. Lei, T. Yang, Z. Liang et al., Achieving 20% toluene-processed binary organic solar cells </w:t>
      </w:r>
      <w:r w:rsidRPr="006D6FC6">
        <w:rPr>
          <w:i/>
        </w:rPr>
        <w:t>via</w:t>
      </w:r>
      <w:r w:rsidRPr="006D6FC6">
        <w:t xml:space="preserve"> secondary regulation of donor aggregation in sequential processing. </w:t>
      </w:r>
      <w:r w:rsidR="00277A4C">
        <w:t>Nano-Micro</w:t>
      </w:r>
      <w:r w:rsidRPr="006D6FC6">
        <w:t xml:space="preserve"> Lett. </w:t>
      </w:r>
      <w:r w:rsidRPr="006D6FC6">
        <w:rPr>
          <w:b/>
        </w:rPr>
        <w:t>17</w:t>
      </w:r>
      <w:r w:rsidRPr="006D6FC6">
        <w:t xml:space="preserve">(1), 206 (2025). </w:t>
      </w:r>
      <w:hyperlink r:id="rId57" w:history="1">
        <w:r w:rsidR="00277A4C" w:rsidRPr="00277A4C">
          <w:rPr>
            <w:rStyle w:val="ae"/>
          </w:rPr>
          <w:t>https://doi.org/10.1007/s40820-025-01715-</w:t>
        </w:r>
        <w:r w:rsidR="00277A4C" w:rsidRPr="002D158A">
          <w:rPr>
            <w:rStyle w:val="ae"/>
          </w:rPr>
          <w:t>2</w:t>
        </w:r>
      </w:hyperlink>
      <w:r w:rsidR="00277A4C">
        <w:rPr>
          <w:rFonts w:eastAsiaTheme="minorEastAsia" w:hint="eastAsia"/>
          <w:lang w:eastAsia="zh-CN"/>
        </w:rPr>
        <w:t xml:space="preserve"> </w:t>
      </w:r>
    </w:p>
    <w:p w14:paraId="159595CC" w14:textId="68403234"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[47] A. Liang, Y. Sun, S. Chung, J. Shin, K. Sun et al., Dual-donor-induced crystallinity modulation enables 19.23% efficiency organic solar cells. </w:t>
      </w:r>
      <w:r w:rsidR="00277A4C">
        <w:t>Nano-Micro</w:t>
      </w:r>
      <w:r w:rsidRPr="006D6FC6">
        <w:t xml:space="preserve"> Lett. </w:t>
      </w:r>
      <w:r w:rsidRPr="006D6FC6">
        <w:rPr>
          <w:b/>
        </w:rPr>
        <w:t>17</w:t>
      </w:r>
      <w:r w:rsidRPr="006D6FC6">
        <w:t xml:space="preserve">(1), 72 (2024). </w:t>
      </w:r>
      <w:hyperlink r:id="rId58" w:history="1">
        <w:r w:rsidR="00277A4C" w:rsidRPr="00277A4C">
          <w:rPr>
            <w:rStyle w:val="ae"/>
          </w:rPr>
          <w:t>https://doi.org/10.1007/s40820-024-01576-</w:t>
        </w:r>
        <w:r w:rsidR="00277A4C" w:rsidRPr="002D158A">
          <w:rPr>
            <w:rStyle w:val="ae"/>
          </w:rPr>
          <w:t>1</w:t>
        </w:r>
      </w:hyperlink>
      <w:r w:rsidR="00277A4C">
        <w:rPr>
          <w:rFonts w:eastAsiaTheme="minorEastAsia" w:hint="eastAsia"/>
          <w:lang w:eastAsia="zh-CN"/>
        </w:rPr>
        <w:t xml:space="preserve"> </w:t>
      </w:r>
    </w:p>
    <w:p w14:paraId="33E7502A" w14:textId="4BD12B28"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[48] H. Lu, G. Ran, Y. Liu, Z. Pei, W. Liu et al., Green-solvent-processed high-performance ternary organic solar cells comprising a highly soluble and fluorescent third component. Adv. Funct. Mater. </w:t>
      </w:r>
      <w:r w:rsidRPr="006D6FC6">
        <w:rPr>
          <w:b/>
        </w:rPr>
        <w:t>33</w:t>
      </w:r>
      <w:r w:rsidRPr="006D6FC6">
        <w:t xml:space="preserve">(40), 2301866 (2023). </w:t>
      </w:r>
      <w:hyperlink r:id="rId59" w:history="1">
        <w:r w:rsidR="00277A4C" w:rsidRPr="002D158A">
          <w:rPr>
            <w:rStyle w:val="ae"/>
          </w:rPr>
          <w:t>https://doi.org/10.1002/adfm.202301866</w:t>
        </w:r>
      </w:hyperlink>
      <w:r w:rsidR="00277A4C">
        <w:rPr>
          <w:rFonts w:eastAsiaTheme="minorEastAsia" w:hint="eastAsia"/>
          <w:lang w:eastAsia="zh-CN"/>
        </w:rPr>
        <w:t xml:space="preserve"> </w:t>
      </w:r>
    </w:p>
    <w:p w14:paraId="7304AD66" w14:textId="08C3901C"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[49] Y. Jiang, Y. Li, F. Liu, W. Wang, W. Su et al., Suppressing electron-phonon coupling in organic photovoltaics for high-efficiency power conversion. Nat. Commun. </w:t>
      </w:r>
      <w:r w:rsidRPr="006D6FC6">
        <w:rPr>
          <w:b/>
        </w:rPr>
        <w:t>14</w:t>
      </w:r>
      <w:r w:rsidRPr="006D6FC6">
        <w:t xml:space="preserve">, 5079 (2023). </w:t>
      </w:r>
      <w:hyperlink r:id="rId60" w:history="1">
        <w:r w:rsidR="00277A4C" w:rsidRPr="00277A4C">
          <w:rPr>
            <w:rStyle w:val="ae"/>
          </w:rPr>
          <w:t>https://doi.org/10.1038/s41467-023-40806-</w:t>
        </w:r>
        <w:r w:rsidR="00277A4C" w:rsidRPr="002D158A">
          <w:rPr>
            <w:rStyle w:val="ae"/>
          </w:rPr>
          <w:t>9</w:t>
        </w:r>
      </w:hyperlink>
      <w:r w:rsidR="00277A4C">
        <w:rPr>
          <w:rFonts w:eastAsiaTheme="minorEastAsia" w:hint="eastAsia"/>
          <w:lang w:eastAsia="zh-CN"/>
        </w:rPr>
        <w:t xml:space="preserve"> </w:t>
      </w:r>
    </w:p>
    <w:p w14:paraId="49EA9C9C" w14:textId="4CCB3FB4"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[50] R. Wang, C. Zhang, Q. Li, Z. Zhang, X. Wang et al., Charge separation from an intra-moiety intermediate state in the high-performance PM6: Y6 organic photovoltaic blend. J. Am. Chem. Soc. </w:t>
      </w:r>
      <w:r w:rsidRPr="006D6FC6">
        <w:rPr>
          <w:b/>
        </w:rPr>
        <w:t>142</w:t>
      </w:r>
      <w:r w:rsidRPr="006D6FC6">
        <w:t xml:space="preserve">(29), 12751–12759 (2020). </w:t>
      </w:r>
      <w:hyperlink r:id="rId61" w:history="1">
        <w:r w:rsidR="00277A4C" w:rsidRPr="002D158A">
          <w:rPr>
            <w:rStyle w:val="ae"/>
          </w:rPr>
          <w:t>https://doi.org/10.1021/jacs.0c04890</w:t>
        </w:r>
      </w:hyperlink>
      <w:r w:rsidR="00277A4C">
        <w:rPr>
          <w:rFonts w:eastAsiaTheme="minorEastAsia" w:hint="eastAsia"/>
          <w:lang w:eastAsia="zh-CN"/>
        </w:rPr>
        <w:t xml:space="preserve"> </w:t>
      </w:r>
    </w:p>
    <w:p w14:paraId="4111E453" w14:textId="05977A36"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[51] G. Zhou, M. Zhang, J. Xu, Y. Yang, T. Hao et al., Spontaneous carrier generation and low recombination in high-efficiency non-fullerene solar cells. Energy Environ. Sci. </w:t>
      </w:r>
      <w:r w:rsidRPr="006D6FC6">
        <w:rPr>
          <w:b/>
        </w:rPr>
        <w:t>15</w:t>
      </w:r>
      <w:r w:rsidRPr="006D6FC6">
        <w:t xml:space="preserve">(8), 3483–3493 (2022). </w:t>
      </w:r>
      <w:hyperlink r:id="rId62" w:history="1">
        <w:r w:rsidR="00277A4C" w:rsidRPr="00277A4C">
          <w:rPr>
            <w:rStyle w:val="ae"/>
          </w:rPr>
          <w:t>https://doi.org/10.1039/D2EE01327</w:t>
        </w:r>
        <w:r w:rsidR="00277A4C" w:rsidRPr="002D158A">
          <w:rPr>
            <w:rStyle w:val="ae"/>
          </w:rPr>
          <w:t>D</w:t>
        </w:r>
      </w:hyperlink>
      <w:r w:rsidR="00277A4C">
        <w:rPr>
          <w:rFonts w:eastAsiaTheme="minorEastAsia" w:hint="eastAsia"/>
          <w:lang w:eastAsia="zh-CN"/>
        </w:rPr>
        <w:t xml:space="preserve"> </w:t>
      </w:r>
    </w:p>
    <w:p w14:paraId="2206763A" w14:textId="6EA07840" w:rsidR="00D944A4" w:rsidRPr="00D55E20" w:rsidRDefault="00D944A4" w:rsidP="006D6FC6">
      <w:pPr>
        <w:spacing w:beforeLines="100" w:before="240" w:afterLines="100" w:after="240" w:line="360" w:lineRule="auto"/>
        <w:ind w:left="420" w:hanging="420"/>
        <w:rPr>
          <w:rFonts w:eastAsiaTheme="minorEastAsia" w:hint="eastAsia"/>
          <w:lang w:eastAsia="zh-CN"/>
        </w:rPr>
      </w:pPr>
      <w:r w:rsidRPr="006D6FC6">
        <w:t xml:space="preserve">[52] H. Cha, S. Wheeler, S. Holliday, S.D. Dimitrov, A. Wadsworth et al., Influence of blend morphology and energetics on charge separation and recombination dynamics in organic solar cells incorporating a nonfullerene acceptor. Adv. Funct. Mater. </w:t>
      </w:r>
      <w:r w:rsidRPr="006D6FC6">
        <w:rPr>
          <w:b/>
        </w:rPr>
        <w:t>28</w:t>
      </w:r>
      <w:r w:rsidRPr="006D6FC6">
        <w:t xml:space="preserve">(3), 1704389 (2018). </w:t>
      </w:r>
      <w:hyperlink r:id="rId63" w:history="1">
        <w:r w:rsidR="00277A4C" w:rsidRPr="002D158A">
          <w:rPr>
            <w:rStyle w:val="ae"/>
          </w:rPr>
          <w:t>https://doi.org/10.1002/adfm.201704389</w:t>
        </w:r>
      </w:hyperlink>
      <w:r w:rsidR="00277A4C">
        <w:rPr>
          <w:rFonts w:eastAsiaTheme="minorEastAsia" w:hint="eastAsia"/>
          <w:lang w:eastAsia="zh-CN"/>
        </w:rPr>
        <w:t xml:space="preserve"> </w:t>
      </w:r>
    </w:p>
    <w:p w14:paraId="423D79A2" w14:textId="5B2882A6" w:rsidR="00D944A4" w:rsidRPr="006D6FC6" w:rsidRDefault="00D944A4" w:rsidP="006D6FC6">
      <w:pPr>
        <w:pStyle w:val="Legend"/>
        <w:spacing w:beforeLines="100" w:before="240" w:afterLines="100" w:after="240" w:line="360" w:lineRule="auto"/>
        <w:rPr>
          <w:rFonts w:eastAsia="宋体"/>
          <w:lang w:eastAsia="zh-CN"/>
        </w:rPr>
      </w:pPr>
    </w:p>
    <w:sectPr w:rsidR="00D944A4" w:rsidRPr="006D6FC6">
      <w:headerReference w:type="default" r:id="rId64"/>
      <w:footerReference w:type="default" r:id="rId6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D8157" w14:textId="77777777" w:rsidR="006646EC" w:rsidRDefault="006646EC">
      <w:r>
        <w:separator/>
      </w:r>
    </w:p>
  </w:endnote>
  <w:endnote w:type="continuationSeparator" w:id="0">
    <w:p w14:paraId="5B13CF7E" w14:textId="77777777" w:rsidR="006646EC" w:rsidRDefault="00664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otham Book Regular">
    <w:altName w:val="Calibri"/>
    <w:charset w:val="4D"/>
    <w:family w:val="auto"/>
    <w:pitch w:val="variable"/>
    <w:sig w:usb0="800000AF" w:usb1="40000048" w:usb2="00000000" w:usb3="00000000" w:csb0="00000111" w:csb1="00000000"/>
  </w:font>
  <w:font w:name="等线">
    <w:altName w:val="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EBB35" w14:textId="77777777" w:rsidR="008C3DC3" w:rsidRDefault="00ED05B9">
    <w:pPr>
      <w:pStyle w:val="a6"/>
      <w:jc w:val="center"/>
    </w:pPr>
    <w:r>
      <w:rPr>
        <w:lang w:val="zh-CN" w:eastAsia="zh-CN"/>
      </w:rPr>
      <w:t xml:space="preserve"> </w:t>
    </w:r>
    <w:r>
      <w:rPr>
        <w:b/>
        <w:bCs/>
      </w:rPr>
      <w:fldChar w:fldCharType="begin"/>
    </w:r>
    <w:r>
      <w:rPr>
        <w:b/>
        <w:bCs/>
      </w:rPr>
      <w:instrText>PAGE</w:instrText>
    </w:r>
    <w:r>
      <w:rPr>
        <w:b/>
        <w:bCs/>
      </w:rPr>
      <w:fldChar w:fldCharType="separate"/>
    </w:r>
    <w:r>
      <w:rPr>
        <w:b/>
        <w:bCs/>
      </w:rPr>
      <w:t>1</w:t>
    </w:r>
    <w:r>
      <w:rPr>
        <w:b/>
        <w:bCs/>
      </w:rPr>
      <w:fldChar w:fldCharType="end"/>
    </w:r>
    <w:r>
      <w:rPr>
        <w:lang w:val="zh-CN" w:eastAsia="zh-CN"/>
      </w:rPr>
      <w:t xml:space="preserve"> / </w:t>
    </w:r>
    <w:r>
      <w:rPr>
        <w:b/>
        <w:bCs/>
      </w:rPr>
      <w:fldChar w:fldCharType="begin"/>
    </w:r>
    <w:r>
      <w:rPr>
        <w:b/>
        <w:bCs/>
      </w:rPr>
      <w:instrText>NUMPAGES</w:instrText>
    </w:r>
    <w:r>
      <w:rPr>
        <w:b/>
        <w:bCs/>
      </w:rPr>
      <w:fldChar w:fldCharType="separate"/>
    </w:r>
    <w:r>
      <w:rPr>
        <w:b/>
        <w:bCs/>
      </w:rPr>
      <w:t>11</w:t>
    </w:r>
    <w:r>
      <w:rPr>
        <w:b/>
        <w:bCs/>
      </w:rPr>
      <w:fldChar w:fldCharType="end"/>
    </w:r>
  </w:p>
  <w:p w14:paraId="185EBB36" w14:textId="77777777" w:rsidR="008C3DC3" w:rsidRDefault="008C3DC3">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76B7B" w14:textId="77777777" w:rsidR="006646EC" w:rsidRDefault="006646EC">
      <w:r>
        <w:separator/>
      </w:r>
    </w:p>
  </w:footnote>
  <w:footnote w:type="continuationSeparator" w:id="0">
    <w:p w14:paraId="311EFBD0" w14:textId="77777777" w:rsidR="006646EC" w:rsidRDefault="00664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EBB34" w14:textId="77777777" w:rsidR="008C3DC3" w:rsidRDefault="008C3DC3">
    <w:pPr>
      <w:pStyle w:val="a8"/>
      <w:tabs>
        <w:tab w:val="left" w:pos="5003"/>
      </w:tabs>
      <w:jc w:val="right"/>
      <w:rPr>
        <w:b/>
        <w:sz w:val="3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7344E5E"/>
    <w:multiLevelType w:val="multilevel"/>
    <w:tmpl w:val="17344E5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16cid:durableId="107356328">
    <w:abstractNumId w:val="3"/>
  </w:num>
  <w:num w:numId="2" w16cid:durableId="122965754">
    <w:abstractNumId w:val="2"/>
  </w:num>
  <w:num w:numId="3" w16cid:durableId="1184979527">
    <w:abstractNumId w:val="0"/>
  </w:num>
  <w:num w:numId="4" w16cid:durableId="155609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yMDKxNDUwNbIwNDBV0lEKTi0uzszPAykwrAUAjshI6CwAAAA="/>
    <w:docVar w:name="commondata" w:val="eyJoZGlkIjoiNzlkZDkzZTQ5YzBiYjEwZWNkYzVjYmM5ZTkzZjU3NDMifQ=="/>
  </w:docVars>
  <w:rsids>
    <w:rsidRoot w:val="002D16A0"/>
    <w:rsid w:val="000003BB"/>
    <w:rsid w:val="0000374D"/>
    <w:rsid w:val="00004A23"/>
    <w:rsid w:val="00006A0A"/>
    <w:rsid w:val="0000703E"/>
    <w:rsid w:val="000112FC"/>
    <w:rsid w:val="000118B0"/>
    <w:rsid w:val="00011F40"/>
    <w:rsid w:val="000134B7"/>
    <w:rsid w:val="0001454A"/>
    <w:rsid w:val="0001683C"/>
    <w:rsid w:val="00017038"/>
    <w:rsid w:val="000172E7"/>
    <w:rsid w:val="00020344"/>
    <w:rsid w:val="000214A8"/>
    <w:rsid w:val="00023F64"/>
    <w:rsid w:val="00026373"/>
    <w:rsid w:val="00027FB5"/>
    <w:rsid w:val="000314D2"/>
    <w:rsid w:val="0003318F"/>
    <w:rsid w:val="0004094E"/>
    <w:rsid w:val="00040B7B"/>
    <w:rsid w:val="000437F7"/>
    <w:rsid w:val="00050985"/>
    <w:rsid w:val="00053C2C"/>
    <w:rsid w:val="0005501E"/>
    <w:rsid w:val="00055883"/>
    <w:rsid w:val="00057E2C"/>
    <w:rsid w:val="0006044D"/>
    <w:rsid w:val="00062324"/>
    <w:rsid w:val="00063C0E"/>
    <w:rsid w:val="00072EA7"/>
    <w:rsid w:val="00073B0F"/>
    <w:rsid w:val="00076EAD"/>
    <w:rsid w:val="0008287E"/>
    <w:rsid w:val="000828A9"/>
    <w:rsid w:val="00083031"/>
    <w:rsid w:val="0008740B"/>
    <w:rsid w:val="000904D3"/>
    <w:rsid w:val="00090991"/>
    <w:rsid w:val="000925B9"/>
    <w:rsid w:val="0009309C"/>
    <w:rsid w:val="00093F1B"/>
    <w:rsid w:val="00097CA5"/>
    <w:rsid w:val="000A1F4B"/>
    <w:rsid w:val="000A21A9"/>
    <w:rsid w:val="000A3E93"/>
    <w:rsid w:val="000A4330"/>
    <w:rsid w:val="000A472C"/>
    <w:rsid w:val="000A5773"/>
    <w:rsid w:val="000A682F"/>
    <w:rsid w:val="000B05A0"/>
    <w:rsid w:val="000B33EE"/>
    <w:rsid w:val="000B4293"/>
    <w:rsid w:val="000B7681"/>
    <w:rsid w:val="000C259E"/>
    <w:rsid w:val="000C3E0C"/>
    <w:rsid w:val="000C6252"/>
    <w:rsid w:val="000C6F8A"/>
    <w:rsid w:val="000D2D4B"/>
    <w:rsid w:val="000D33A3"/>
    <w:rsid w:val="000D3A42"/>
    <w:rsid w:val="000D45F4"/>
    <w:rsid w:val="000D5AB4"/>
    <w:rsid w:val="000D66DB"/>
    <w:rsid w:val="000D7EBA"/>
    <w:rsid w:val="000E788B"/>
    <w:rsid w:val="000E7A5B"/>
    <w:rsid w:val="000E7BBA"/>
    <w:rsid w:val="000F512F"/>
    <w:rsid w:val="001013F4"/>
    <w:rsid w:val="001054D4"/>
    <w:rsid w:val="0010686C"/>
    <w:rsid w:val="00107C5F"/>
    <w:rsid w:val="00107CCC"/>
    <w:rsid w:val="00110011"/>
    <w:rsid w:val="001105BD"/>
    <w:rsid w:val="00111212"/>
    <w:rsid w:val="00116C82"/>
    <w:rsid w:val="00117A91"/>
    <w:rsid w:val="00120E85"/>
    <w:rsid w:val="00123ADA"/>
    <w:rsid w:val="00125573"/>
    <w:rsid w:val="0012642A"/>
    <w:rsid w:val="00126D17"/>
    <w:rsid w:val="00126FE5"/>
    <w:rsid w:val="001305BF"/>
    <w:rsid w:val="00131D58"/>
    <w:rsid w:val="001370B1"/>
    <w:rsid w:val="001377CA"/>
    <w:rsid w:val="00140B94"/>
    <w:rsid w:val="001450FB"/>
    <w:rsid w:val="0014658A"/>
    <w:rsid w:val="00147DB8"/>
    <w:rsid w:val="001506EC"/>
    <w:rsid w:val="00151683"/>
    <w:rsid w:val="0015392F"/>
    <w:rsid w:val="0015563E"/>
    <w:rsid w:val="00155F66"/>
    <w:rsid w:val="001560A0"/>
    <w:rsid w:val="0016390D"/>
    <w:rsid w:val="00164057"/>
    <w:rsid w:val="00165B37"/>
    <w:rsid w:val="00170369"/>
    <w:rsid w:val="00173410"/>
    <w:rsid w:val="00173757"/>
    <w:rsid w:val="00173787"/>
    <w:rsid w:val="00174176"/>
    <w:rsid w:val="00174B99"/>
    <w:rsid w:val="00181D92"/>
    <w:rsid w:val="001823B6"/>
    <w:rsid w:val="001848EB"/>
    <w:rsid w:val="00187DB9"/>
    <w:rsid w:val="0019077D"/>
    <w:rsid w:val="0019194D"/>
    <w:rsid w:val="001A4240"/>
    <w:rsid w:val="001A6821"/>
    <w:rsid w:val="001A734D"/>
    <w:rsid w:val="001B4224"/>
    <w:rsid w:val="001B7472"/>
    <w:rsid w:val="001C10AC"/>
    <w:rsid w:val="001C55FB"/>
    <w:rsid w:val="001D12BC"/>
    <w:rsid w:val="001D279D"/>
    <w:rsid w:val="001D4F2C"/>
    <w:rsid w:val="001D561D"/>
    <w:rsid w:val="001D7D2C"/>
    <w:rsid w:val="001E067A"/>
    <w:rsid w:val="001E18CC"/>
    <w:rsid w:val="001E3D2D"/>
    <w:rsid w:val="001E4605"/>
    <w:rsid w:val="001E5A13"/>
    <w:rsid w:val="001E5F4E"/>
    <w:rsid w:val="001F2689"/>
    <w:rsid w:val="001F2AB7"/>
    <w:rsid w:val="001F3C9B"/>
    <w:rsid w:val="001F3E77"/>
    <w:rsid w:val="001F4BD1"/>
    <w:rsid w:val="001F5110"/>
    <w:rsid w:val="001F5702"/>
    <w:rsid w:val="001F65A2"/>
    <w:rsid w:val="002002FC"/>
    <w:rsid w:val="00201F71"/>
    <w:rsid w:val="00203934"/>
    <w:rsid w:val="0020446B"/>
    <w:rsid w:val="00204BA7"/>
    <w:rsid w:val="002072AB"/>
    <w:rsid w:val="00210140"/>
    <w:rsid w:val="00211942"/>
    <w:rsid w:val="00214D95"/>
    <w:rsid w:val="00215531"/>
    <w:rsid w:val="002162B2"/>
    <w:rsid w:val="00220933"/>
    <w:rsid w:val="00220C72"/>
    <w:rsid w:val="0022540C"/>
    <w:rsid w:val="00225EBD"/>
    <w:rsid w:val="00226AA4"/>
    <w:rsid w:val="00233C8A"/>
    <w:rsid w:val="00235E7C"/>
    <w:rsid w:val="00236036"/>
    <w:rsid w:val="00240D90"/>
    <w:rsid w:val="00253CB1"/>
    <w:rsid w:val="002543F9"/>
    <w:rsid w:val="00257ADD"/>
    <w:rsid w:val="00263723"/>
    <w:rsid w:val="00263CF8"/>
    <w:rsid w:val="00264163"/>
    <w:rsid w:val="00265635"/>
    <w:rsid w:val="00266389"/>
    <w:rsid w:val="002675F7"/>
    <w:rsid w:val="002725A5"/>
    <w:rsid w:val="0027314F"/>
    <w:rsid w:val="00273E17"/>
    <w:rsid w:val="002770B0"/>
    <w:rsid w:val="00277A4C"/>
    <w:rsid w:val="00281BC5"/>
    <w:rsid w:val="0028289F"/>
    <w:rsid w:val="00284157"/>
    <w:rsid w:val="00285631"/>
    <w:rsid w:val="00290D94"/>
    <w:rsid w:val="0029203C"/>
    <w:rsid w:val="00294873"/>
    <w:rsid w:val="002A4A81"/>
    <w:rsid w:val="002A73A2"/>
    <w:rsid w:val="002A7CE8"/>
    <w:rsid w:val="002B0671"/>
    <w:rsid w:val="002B262F"/>
    <w:rsid w:val="002B3553"/>
    <w:rsid w:val="002B5E06"/>
    <w:rsid w:val="002C0CFF"/>
    <w:rsid w:val="002C319F"/>
    <w:rsid w:val="002D09B9"/>
    <w:rsid w:val="002D16A0"/>
    <w:rsid w:val="002D2930"/>
    <w:rsid w:val="002D2DFF"/>
    <w:rsid w:val="002D5BF8"/>
    <w:rsid w:val="002D7ECC"/>
    <w:rsid w:val="002E08F5"/>
    <w:rsid w:val="002E1B8F"/>
    <w:rsid w:val="002E2DEF"/>
    <w:rsid w:val="002E46DF"/>
    <w:rsid w:val="002E4E3E"/>
    <w:rsid w:val="002E64BC"/>
    <w:rsid w:val="002E76B2"/>
    <w:rsid w:val="002E79A2"/>
    <w:rsid w:val="002F4F4B"/>
    <w:rsid w:val="002F55FD"/>
    <w:rsid w:val="002F594C"/>
    <w:rsid w:val="00301984"/>
    <w:rsid w:val="00301B0B"/>
    <w:rsid w:val="00301E84"/>
    <w:rsid w:val="00302E7A"/>
    <w:rsid w:val="00303295"/>
    <w:rsid w:val="003037C3"/>
    <w:rsid w:val="00303D1B"/>
    <w:rsid w:val="003046B7"/>
    <w:rsid w:val="00317A57"/>
    <w:rsid w:val="00317AB2"/>
    <w:rsid w:val="00320A99"/>
    <w:rsid w:val="0032144B"/>
    <w:rsid w:val="00322D5B"/>
    <w:rsid w:val="00325AC2"/>
    <w:rsid w:val="00326A1C"/>
    <w:rsid w:val="00327FDC"/>
    <w:rsid w:val="003360E3"/>
    <w:rsid w:val="003371D5"/>
    <w:rsid w:val="003376CD"/>
    <w:rsid w:val="003446FD"/>
    <w:rsid w:val="003452C3"/>
    <w:rsid w:val="003501A7"/>
    <w:rsid w:val="0035048A"/>
    <w:rsid w:val="00350B35"/>
    <w:rsid w:val="0035546D"/>
    <w:rsid w:val="0036263B"/>
    <w:rsid w:val="00363B62"/>
    <w:rsid w:val="003645B0"/>
    <w:rsid w:val="00364B2C"/>
    <w:rsid w:val="00364F46"/>
    <w:rsid w:val="003664F1"/>
    <w:rsid w:val="00367E3F"/>
    <w:rsid w:val="00375A3A"/>
    <w:rsid w:val="00377EA5"/>
    <w:rsid w:val="00377F77"/>
    <w:rsid w:val="00383073"/>
    <w:rsid w:val="0038438F"/>
    <w:rsid w:val="00387C67"/>
    <w:rsid w:val="00387D98"/>
    <w:rsid w:val="00390B0F"/>
    <w:rsid w:val="00390B38"/>
    <w:rsid w:val="00390B6B"/>
    <w:rsid w:val="00391CFE"/>
    <w:rsid w:val="0039353B"/>
    <w:rsid w:val="00394F9E"/>
    <w:rsid w:val="00395426"/>
    <w:rsid w:val="00395B91"/>
    <w:rsid w:val="00396615"/>
    <w:rsid w:val="0039700D"/>
    <w:rsid w:val="00397089"/>
    <w:rsid w:val="003978A8"/>
    <w:rsid w:val="003A0F30"/>
    <w:rsid w:val="003A4C44"/>
    <w:rsid w:val="003A5AD0"/>
    <w:rsid w:val="003A6CE3"/>
    <w:rsid w:val="003A7899"/>
    <w:rsid w:val="003B15EE"/>
    <w:rsid w:val="003B517D"/>
    <w:rsid w:val="003B60EC"/>
    <w:rsid w:val="003B78A3"/>
    <w:rsid w:val="003C00ED"/>
    <w:rsid w:val="003C1C0A"/>
    <w:rsid w:val="003C35DF"/>
    <w:rsid w:val="003C4A68"/>
    <w:rsid w:val="003C554F"/>
    <w:rsid w:val="003C61DD"/>
    <w:rsid w:val="003D3F94"/>
    <w:rsid w:val="003D63E7"/>
    <w:rsid w:val="003E05F1"/>
    <w:rsid w:val="003E113B"/>
    <w:rsid w:val="003E5092"/>
    <w:rsid w:val="003E715D"/>
    <w:rsid w:val="003F050E"/>
    <w:rsid w:val="003F103E"/>
    <w:rsid w:val="003F2E48"/>
    <w:rsid w:val="003F440C"/>
    <w:rsid w:val="003F525A"/>
    <w:rsid w:val="003F7BE6"/>
    <w:rsid w:val="004006A9"/>
    <w:rsid w:val="00400830"/>
    <w:rsid w:val="00404AE3"/>
    <w:rsid w:val="004052AE"/>
    <w:rsid w:val="004118A5"/>
    <w:rsid w:val="00413672"/>
    <w:rsid w:val="00414041"/>
    <w:rsid w:val="00414465"/>
    <w:rsid w:val="00414729"/>
    <w:rsid w:val="00414C80"/>
    <w:rsid w:val="00414F4B"/>
    <w:rsid w:val="00415EF9"/>
    <w:rsid w:val="00416629"/>
    <w:rsid w:val="00417DA1"/>
    <w:rsid w:val="0042070D"/>
    <w:rsid w:val="00423478"/>
    <w:rsid w:val="00425B76"/>
    <w:rsid w:val="004260A2"/>
    <w:rsid w:val="00426FC6"/>
    <w:rsid w:val="004273BC"/>
    <w:rsid w:val="00427C5F"/>
    <w:rsid w:val="00430134"/>
    <w:rsid w:val="0043414C"/>
    <w:rsid w:val="00441FB8"/>
    <w:rsid w:val="004507E5"/>
    <w:rsid w:val="004519AD"/>
    <w:rsid w:val="0045459A"/>
    <w:rsid w:val="004545DB"/>
    <w:rsid w:val="0045786A"/>
    <w:rsid w:val="00460F76"/>
    <w:rsid w:val="00462EF9"/>
    <w:rsid w:val="00462F12"/>
    <w:rsid w:val="00463050"/>
    <w:rsid w:val="0046340F"/>
    <w:rsid w:val="00466168"/>
    <w:rsid w:val="00466A8B"/>
    <w:rsid w:val="00470075"/>
    <w:rsid w:val="004714D4"/>
    <w:rsid w:val="00475712"/>
    <w:rsid w:val="00480CCD"/>
    <w:rsid w:val="00480CCE"/>
    <w:rsid w:val="00482FAA"/>
    <w:rsid w:val="00484E02"/>
    <w:rsid w:val="0049075F"/>
    <w:rsid w:val="00492DA8"/>
    <w:rsid w:val="004A0888"/>
    <w:rsid w:val="004A43B6"/>
    <w:rsid w:val="004A70EE"/>
    <w:rsid w:val="004A774E"/>
    <w:rsid w:val="004A7D3E"/>
    <w:rsid w:val="004A7FF9"/>
    <w:rsid w:val="004B379D"/>
    <w:rsid w:val="004B5F0C"/>
    <w:rsid w:val="004B6031"/>
    <w:rsid w:val="004C046E"/>
    <w:rsid w:val="004C1609"/>
    <w:rsid w:val="004C216B"/>
    <w:rsid w:val="004C5DD3"/>
    <w:rsid w:val="004C799B"/>
    <w:rsid w:val="004D1C6A"/>
    <w:rsid w:val="004D2D1B"/>
    <w:rsid w:val="004D30F9"/>
    <w:rsid w:val="004D4A32"/>
    <w:rsid w:val="004D5595"/>
    <w:rsid w:val="004D64AB"/>
    <w:rsid w:val="004E7CE8"/>
    <w:rsid w:val="004F131F"/>
    <w:rsid w:val="004F271D"/>
    <w:rsid w:val="004F5090"/>
    <w:rsid w:val="004F5114"/>
    <w:rsid w:val="004F6352"/>
    <w:rsid w:val="004F756C"/>
    <w:rsid w:val="005001FA"/>
    <w:rsid w:val="005019AF"/>
    <w:rsid w:val="0050488D"/>
    <w:rsid w:val="00504D12"/>
    <w:rsid w:val="0050527A"/>
    <w:rsid w:val="0050535A"/>
    <w:rsid w:val="00510C38"/>
    <w:rsid w:val="00511192"/>
    <w:rsid w:val="005118AD"/>
    <w:rsid w:val="00512353"/>
    <w:rsid w:val="00512A67"/>
    <w:rsid w:val="005220C2"/>
    <w:rsid w:val="00523369"/>
    <w:rsid w:val="0052398F"/>
    <w:rsid w:val="00530CBC"/>
    <w:rsid w:val="005321A2"/>
    <w:rsid w:val="00532960"/>
    <w:rsid w:val="00543221"/>
    <w:rsid w:val="00545A73"/>
    <w:rsid w:val="0054667D"/>
    <w:rsid w:val="00546DEB"/>
    <w:rsid w:val="00546F0F"/>
    <w:rsid w:val="005477E7"/>
    <w:rsid w:val="00550159"/>
    <w:rsid w:val="00551429"/>
    <w:rsid w:val="00551897"/>
    <w:rsid w:val="00551FFD"/>
    <w:rsid w:val="00552A0F"/>
    <w:rsid w:val="005551ED"/>
    <w:rsid w:val="00556419"/>
    <w:rsid w:val="005572B4"/>
    <w:rsid w:val="005572DD"/>
    <w:rsid w:val="00560564"/>
    <w:rsid w:val="00562E2B"/>
    <w:rsid w:val="00564668"/>
    <w:rsid w:val="00570353"/>
    <w:rsid w:val="005715F5"/>
    <w:rsid w:val="0057171E"/>
    <w:rsid w:val="00571EEC"/>
    <w:rsid w:val="00572666"/>
    <w:rsid w:val="0057267E"/>
    <w:rsid w:val="005726BD"/>
    <w:rsid w:val="00574A5A"/>
    <w:rsid w:val="005753B8"/>
    <w:rsid w:val="00583B6E"/>
    <w:rsid w:val="00583ED5"/>
    <w:rsid w:val="00585C1F"/>
    <w:rsid w:val="00587437"/>
    <w:rsid w:val="00591269"/>
    <w:rsid w:val="00592678"/>
    <w:rsid w:val="00594644"/>
    <w:rsid w:val="0059526F"/>
    <w:rsid w:val="00596F36"/>
    <w:rsid w:val="005A1741"/>
    <w:rsid w:val="005A235F"/>
    <w:rsid w:val="005A41CA"/>
    <w:rsid w:val="005A6D10"/>
    <w:rsid w:val="005A751F"/>
    <w:rsid w:val="005A7719"/>
    <w:rsid w:val="005A77C2"/>
    <w:rsid w:val="005B291B"/>
    <w:rsid w:val="005B76C5"/>
    <w:rsid w:val="005B7AF0"/>
    <w:rsid w:val="005B7B8A"/>
    <w:rsid w:val="005C09C6"/>
    <w:rsid w:val="005C3C57"/>
    <w:rsid w:val="005C458D"/>
    <w:rsid w:val="005C491E"/>
    <w:rsid w:val="005C5E0A"/>
    <w:rsid w:val="005C6C0C"/>
    <w:rsid w:val="005D0C31"/>
    <w:rsid w:val="005D2276"/>
    <w:rsid w:val="005D25FD"/>
    <w:rsid w:val="005D2808"/>
    <w:rsid w:val="005E0858"/>
    <w:rsid w:val="005E2794"/>
    <w:rsid w:val="005E3CBF"/>
    <w:rsid w:val="005E6F9D"/>
    <w:rsid w:val="005E7B5A"/>
    <w:rsid w:val="005F01FC"/>
    <w:rsid w:val="005F0501"/>
    <w:rsid w:val="005F0C89"/>
    <w:rsid w:val="005F139A"/>
    <w:rsid w:val="005F3701"/>
    <w:rsid w:val="005F41DF"/>
    <w:rsid w:val="005F4521"/>
    <w:rsid w:val="005F5478"/>
    <w:rsid w:val="006006FC"/>
    <w:rsid w:val="006045BA"/>
    <w:rsid w:val="0060583A"/>
    <w:rsid w:val="00611649"/>
    <w:rsid w:val="00611A0E"/>
    <w:rsid w:val="00614154"/>
    <w:rsid w:val="00614BD3"/>
    <w:rsid w:val="0062136D"/>
    <w:rsid w:val="00623A77"/>
    <w:rsid w:val="006256F5"/>
    <w:rsid w:val="0063097B"/>
    <w:rsid w:val="006364B8"/>
    <w:rsid w:val="00636A64"/>
    <w:rsid w:val="00636B93"/>
    <w:rsid w:val="00640550"/>
    <w:rsid w:val="00640E76"/>
    <w:rsid w:val="006414EB"/>
    <w:rsid w:val="0064326A"/>
    <w:rsid w:val="0064337B"/>
    <w:rsid w:val="00644D5D"/>
    <w:rsid w:val="00646DC7"/>
    <w:rsid w:val="006511FB"/>
    <w:rsid w:val="00651A9D"/>
    <w:rsid w:val="00656055"/>
    <w:rsid w:val="00656092"/>
    <w:rsid w:val="0065741C"/>
    <w:rsid w:val="00660B85"/>
    <w:rsid w:val="00662DCE"/>
    <w:rsid w:val="006646EC"/>
    <w:rsid w:val="00664F6D"/>
    <w:rsid w:val="006650B8"/>
    <w:rsid w:val="00666329"/>
    <w:rsid w:val="006672EE"/>
    <w:rsid w:val="0067011F"/>
    <w:rsid w:val="0067015E"/>
    <w:rsid w:val="00680453"/>
    <w:rsid w:val="00682526"/>
    <w:rsid w:val="00683555"/>
    <w:rsid w:val="00686F1D"/>
    <w:rsid w:val="00691FC5"/>
    <w:rsid w:val="00692F7A"/>
    <w:rsid w:val="00695E06"/>
    <w:rsid w:val="00696315"/>
    <w:rsid w:val="006A0D51"/>
    <w:rsid w:val="006A1C05"/>
    <w:rsid w:val="006A225B"/>
    <w:rsid w:val="006A30D2"/>
    <w:rsid w:val="006A5A6A"/>
    <w:rsid w:val="006A5B6E"/>
    <w:rsid w:val="006A5FE3"/>
    <w:rsid w:val="006B23B2"/>
    <w:rsid w:val="006B4845"/>
    <w:rsid w:val="006B635C"/>
    <w:rsid w:val="006C1708"/>
    <w:rsid w:val="006C1C29"/>
    <w:rsid w:val="006C3782"/>
    <w:rsid w:val="006C3CDE"/>
    <w:rsid w:val="006C4745"/>
    <w:rsid w:val="006D0EE8"/>
    <w:rsid w:val="006D24A6"/>
    <w:rsid w:val="006D3162"/>
    <w:rsid w:val="006D37E7"/>
    <w:rsid w:val="006D5146"/>
    <w:rsid w:val="006D59D6"/>
    <w:rsid w:val="006D5C04"/>
    <w:rsid w:val="006D6FC6"/>
    <w:rsid w:val="006D7508"/>
    <w:rsid w:val="006E0F2F"/>
    <w:rsid w:val="006E19D7"/>
    <w:rsid w:val="006E6AF3"/>
    <w:rsid w:val="006E71B9"/>
    <w:rsid w:val="006E7F84"/>
    <w:rsid w:val="006F059A"/>
    <w:rsid w:val="006F39B2"/>
    <w:rsid w:val="006F5384"/>
    <w:rsid w:val="006F6604"/>
    <w:rsid w:val="006F71D8"/>
    <w:rsid w:val="006F7D1A"/>
    <w:rsid w:val="0070346C"/>
    <w:rsid w:val="007051A0"/>
    <w:rsid w:val="00706496"/>
    <w:rsid w:val="00711A12"/>
    <w:rsid w:val="00711F11"/>
    <w:rsid w:val="00713C71"/>
    <w:rsid w:val="007154C4"/>
    <w:rsid w:val="00715DB9"/>
    <w:rsid w:val="007218A0"/>
    <w:rsid w:val="007238AF"/>
    <w:rsid w:val="00726908"/>
    <w:rsid w:val="007270C7"/>
    <w:rsid w:val="00730F3A"/>
    <w:rsid w:val="00735F34"/>
    <w:rsid w:val="00736944"/>
    <w:rsid w:val="00741200"/>
    <w:rsid w:val="00741333"/>
    <w:rsid w:val="00742FF2"/>
    <w:rsid w:val="007435AF"/>
    <w:rsid w:val="00744D6A"/>
    <w:rsid w:val="00745E32"/>
    <w:rsid w:val="00746138"/>
    <w:rsid w:val="0074620A"/>
    <w:rsid w:val="00751D50"/>
    <w:rsid w:val="007527D5"/>
    <w:rsid w:val="00752F3C"/>
    <w:rsid w:val="007561FC"/>
    <w:rsid w:val="00760390"/>
    <w:rsid w:val="00761D34"/>
    <w:rsid w:val="00762D2D"/>
    <w:rsid w:val="00764622"/>
    <w:rsid w:val="00764CAD"/>
    <w:rsid w:val="00765BE5"/>
    <w:rsid w:val="00770FA1"/>
    <w:rsid w:val="00773884"/>
    <w:rsid w:val="00774813"/>
    <w:rsid w:val="00774A36"/>
    <w:rsid w:val="00776EE6"/>
    <w:rsid w:val="0078052A"/>
    <w:rsid w:val="007812FB"/>
    <w:rsid w:val="00784032"/>
    <w:rsid w:val="00784C0D"/>
    <w:rsid w:val="00786E79"/>
    <w:rsid w:val="00787925"/>
    <w:rsid w:val="00787B53"/>
    <w:rsid w:val="00790E31"/>
    <w:rsid w:val="00793B87"/>
    <w:rsid w:val="0079566E"/>
    <w:rsid w:val="00796509"/>
    <w:rsid w:val="0079691E"/>
    <w:rsid w:val="00797723"/>
    <w:rsid w:val="007A6448"/>
    <w:rsid w:val="007A6874"/>
    <w:rsid w:val="007B0F5A"/>
    <w:rsid w:val="007B1EEE"/>
    <w:rsid w:val="007B249B"/>
    <w:rsid w:val="007B2931"/>
    <w:rsid w:val="007B6D4D"/>
    <w:rsid w:val="007B7A09"/>
    <w:rsid w:val="007C0F7A"/>
    <w:rsid w:val="007D24A9"/>
    <w:rsid w:val="007D27FA"/>
    <w:rsid w:val="007D2C52"/>
    <w:rsid w:val="007D30B5"/>
    <w:rsid w:val="007D6218"/>
    <w:rsid w:val="007D6699"/>
    <w:rsid w:val="007D7E30"/>
    <w:rsid w:val="007E6419"/>
    <w:rsid w:val="007F5858"/>
    <w:rsid w:val="007F6815"/>
    <w:rsid w:val="007F6BA8"/>
    <w:rsid w:val="0080681B"/>
    <w:rsid w:val="0080738C"/>
    <w:rsid w:val="00810B77"/>
    <w:rsid w:val="00814617"/>
    <w:rsid w:val="00817436"/>
    <w:rsid w:val="008178E7"/>
    <w:rsid w:val="00822726"/>
    <w:rsid w:val="0082542D"/>
    <w:rsid w:val="00827574"/>
    <w:rsid w:val="00827834"/>
    <w:rsid w:val="00832835"/>
    <w:rsid w:val="00835110"/>
    <w:rsid w:val="008351FC"/>
    <w:rsid w:val="00841F50"/>
    <w:rsid w:val="0084339D"/>
    <w:rsid w:val="00843A0E"/>
    <w:rsid w:val="00845DFE"/>
    <w:rsid w:val="00846E17"/>
    <w:rsid w:val="0085103F"/>
    <w:rsid w:val="00854283"/>
    <w:rsid w:val="008573E3"/>
    <w:rsid w:val="00861E81"/>
    <w:rsid w:val="008645FF"/>
    <w:rsid w:val="00866D42"/>
    <w:rsid w:val="0087030E"/>
    <w:rsid w:val="00870AAC"/>
    <w:rsid w:val="008730DE"/>
    <w:rsid w:val="008734F7"/>
    <w:rsid w:val="00874E9F"/>
    <w:rsid w:val="00876BB7"/>
    <w:rsid w:val="00877842"/>
    <w:rsid w:val="008806F8"/>
    <w:rsid w:val="008808E2"/>
    <w:rsid w:val="00881456"/>
    <w:rsid w:val="00881ACB"/>
    <w:rsid w:val="00885FC9"/>
    <w:rsid w:val="00891328"/>
    <w:rsid w:val="00891A47"/>
    <w:rsid w:val="00892809"/>
    <w:rsid w:val="0089370F"/>
    <w:rsid w:val="008939AF"/>
    <w:rsid w:val="00893FED"/>
    <w:rsid w:val="0089449A"/>
    <w:rsid w:val="00895E48"/>
    <w:rsid w:val="00896687"/>
    <w:rsid w:val="008971F4"/>
    <w:rsid w:val="008A0E7D"/>
    <w:rsid w:val="008A3023"/>
    <w:rsid w:val="008A403F"/>
    <w:rsid w:val="008A6815"/>
    <w:rsid w:val="008B1031"/>
    <w:rsid w:val="008B2303"/>
    <w:rsid w:val="008B34A0"/>
    <w:rsid w:val="008B3EA1"/>
    <w:rsid w:val="008B5740"/>
    <w:rsid w:val="008B72C7"/>
    <w:rsid w:val="008B79F1"/>
    <w:rsid w:val="008C0B84"/>
    <w:rsid w:val="008C3DC3"/>
    <w:rsid w:val="008C41DA"/>
    <w:rsid w:val="008C553A"/>
    <w:rsid w:val="008C588E"/>
    <w:rsid w:val="008C7226"/>
    <w:rsid w:val="008D7B80"/>
    <w:rsid w:val="008E4184"/>
    <w:rsid w:val="008E549F"/>
    <w:rsid w:val="008E5F31"/>
    <w:rsid w:val="008E6301"/>
    <w:rsid w:val="008E70F5"/>
    <w:rsid w:val="008F10BC"/>
    <w:rsid w:val="008F2052"/>
    <w:rsid w:val="008F2307"/>
    <w:rsid w:val="008F26ED"/>
    <w:rsid w:val="008F2A38"/>
    <w:rsid w:val="008F3012"/>
    <w:rsid w:val="008F592B"/>
    <w:rsid w:val="00901D14"/>
    <w:rsid w:val="00903775"/>
    <w:rsid w:val="009109F7"/>
    <w:rsid w:val="00912137"/>
    <w:rsid w:val="00915BED"/>
    <w:rsid w:val="00915E8C"/>
    <w:rsid w:val="00916B64"/>
    <w:rsid w:val="0092145D"/>
    <w:rsid w:val="009245DE"/>
    <w:rsid w:val="00930762"/>
    <w:rsid w:val="00930A08"/>
    <w:rsid w:val="00930C0C"/>
    <w:rsid w:val="00934F4E"/>
    <w:rsid w:val="00936B81"/>
    <w:rsid w:val="0094438E"/>
    <w:rsid w:val="00944701"/>
    <w:rsid w:val="00946080"/>
    <w:rsid w:val="00950ED1"/>
    <w:rsid w:val="00952A7A"/>
    <w:rsid w:val="0095444E"/>
    <w:rsid w:val="00955C67"/>
    <w:rsid w:val="00957B65"/>
    <w:rsid w:val="00960AFF"/>
    <w:rsid w:val="00963F62"/>
    <w:rsid w:val="00965EFC"/>
    <w:rsid w:val="009730A2"/>
    <w:rsid w:val="009746C3"/>
    <w:rsid w:val="009747D6"/>
    <w:rsid w:val="009762D2"/>
    <w:rsid w:val="009762F1"/>
    <w:rsid w:val="0097692D"/>
    <w:rsid w:val="009776D2"/>
    <w:rsid w:val="00977EA8"/>
    <w:rsid w:val="0098140D"/>
    <w:rsid w:val="00981CED"/>
    <w:rsid w:val="0098251F"/>
    <w:rsid w:val="00985278"/>
    <w:rsid w:val="00987225"/>
    <w:rsid w:val="00990870"/>
    <w:rsid w:val="00990DCF"/>
    <w:rsid w:val="009920F5"/>
    <w:rsid w:val="00992B56"/>
    <w:rsid w:val="00992CDA"/>
    <w:rsid w:val="00993342"/>
    <w:rsid w:val="00996CE4"/>
    <w:rsid w:val="009A0FB3"/>
    <w:rsid w:val="009A3F36"/>
    <w:rsid w:val="009A48D8"/>
    <w:rsid w:val="009A6C59"/>
    <w:rsid w:val="009A7878"/>
    <w:rsid w:val="009B0888"/>
    <w:rsid w:val="009B33DF"/>
    <w:rsid w:val="009B4270"/>
    <w:rsid w:val="009B44CC"/>
    <w:rsid w:val="009B4DAE"/>
    <w:rsid w:val="009B5651"/>
    <w:rsid w:val="009B62E4"/>
    <w:rsid w:val="009C4319"/>
    <w:rsid w:val="009D109E"/>
    <w:rsid w:val="009D1CD9"/>
    <w:rsid w:val="009D1F28"/>
    <w:rsid w:val="009D4830"/>
    <w:rsid w:val="009D4F62"/>
    <w:rsid w:val="009D797A"/>
    <w:rsid w:val="009E026A"/>
    <w:rsid w:val="009E3B56"/>
    <w:rsid w:val="009E49B5"/>
    <w:rsid w:val="009E551E"/>
    <w:rsid w:val="009E7066"/>
    <w:rsid w:val="009F1EF8"/>
    <w:rsid w:val="009F4604"/>
    <w:rsid w:val="009F4B78"/>
    <w:rsid w:val="009F606B"/>
    <w:rsid w:val="009F6E66"/>
    <w:rsid w:val="00A00427"/>
    <w:rsid w:val="00A05C46"/>
    <w:rsid w:val="00A06840"/>
    <w:rsid w:val="00A06EAD"/>
    <w:rsid w:val="00A1293C"/>
    <w:rsid w:val="00A14F9B"/>
    <w:rsid w:val="00A167F1"/>
    <w:rsid w:val="00A2085F"/>
    <w:rsid w:val="00A20EC0"/>
    <w:rsid w:val="00A2150B"/>
    <w:rsid w:val="00A215D9"/>
    <w:rsid w:val="00A2292C"/>
    <w:rsid w:val="00A23FC3"/>
    <w:rsid w:val="00A246BA"/>
    <w:rsid w:val="00A25F1B"/>
    <w:rsid w:val="00A3288D"/>
    <w:rsid w:val="00A329DC"/>
    <w:rsid w:val="00A36FC8"/>
    <w:rsid w:val="00A375A6"/>
    <w:rsid w:val="00A41135"/>
    <w:rsid w:val="00A41FEB"/>
    <w:rsid w:val="00A44DA6"/>
    <w:rsid w:val="00A50921"/>
    <w:rsid w:val="00A5160D"/>
    <w:rsid w:val="00A51A84"/>
    <w:rsid w:val="00A56CA4"/>
    <w:rsid w:val="00A65F04"/>
    <w:rsid w:val="00A65F2E"/>
    <w:rsid w:val="00A66C5B"/>
    <w:rsid w:val="00A71AD5"/>
    <w:rsid w:val="00A72C67"/>
    <w:rsid w:val="00A8073E"/>
    <w:rsid w:val="00A80883"/>
    <w:rsid w:val="00A81968"/>
    <w:rsid w:val="00A81BED"/>
    <w:rsid w:val="00A82FC6"/>
    <w:rsid w:val="00A83B81"/>
    <w:rsid w:val="00A83CF8"/>
    <w:rsid w:val="00A86BD7"/>
    <w:rsid w:val="00A914B9"/>
    <w:rsid w:val="00A92270"/>
    <w:rsid w:val="00A93C80"/>
    <w:rsid w:val="00A976FE"/>
    <w:rsid w:val="00AA10AE"/>
    <w:rsid w:val="00AA329F"/>
    <w:rsid w:val="00AA6748"/>
    <w:rsid w:val="00AA7B6A"/>
    <w:rsid w:val="00AB593E"/>
    <w:rsid w:val="00AB5D37"/>
    <w:rsid w:val="00AB683F"/>
    <w:rsid w:val="00AC4A2E"/>
    <w:rsid w:val="00AC6C22"/>
    <w:rsid w:val="00AD1885"/>
    <w:rsid w:val="00AD1DCA"/>
    <w:rsid w:val="00AD50BA"/>
    <w:rsid w:val="00AE02E7"/>
    <w:rsid w:val="00AE0F75"/>
    <w:rsid w:val="00AE2ECD"/>
    <w:rsid w:val="00AE319E"/>
    <w:rsid w:val="00AE3B2C"/>
    <w:rsid w:val="00AE3B4E"/>
    <w:rsid w:val="00AE676F"/>
    <w:rsid w:val="00AE709C"/>
    <w:rsid w:val="00AE7DD9"/>
    <w:rsid w:val="00AF0E06"/>
    <w:rsid w:val="00AF2B38"/>
    <w:rsid w:val="00AF36C7"/>
    <w:rsid w:val="00B004C1"/>
    <w:rsid w:val="00B009EC"/>
    <w:rsid w:val="00B0168B"/>
    <w:rsid w:val="00B03458"/>
    <w:rsid w:val="00B04B8E"/>
    <w:rsid w:val="00B1072F"/>
    <w:rsid w:val="00B13D36"/>
    <w:rsid w:val="00B15820"/>
    <w:rsid w:val="00B215D8"/>
    <w:rsid w:val="00B2218A"/>
    <w:rsid w:val="00B246ED"/>
    <w:rsid w:val="00B26DD0"/>
    <w:rsid w:val="00B27542"/>
    <w:rsid w:val="00B323F6"/>
    <w:rsid w:val="00B338C8"/>
    <w:rsid w:val="00B341CC"/>
    <w:rsid w:val="00B35321"/>
    <w:rsid w:val="00B35505"/>
    <w:rsid w:val="00B35CB3"/>
    <w:rsid w:val="00B35E0A"/>
    <w:rsid w:val="00B36C89"/>
    <w:rsid w:val="00B40124"/>
    <w:rsid w:val="00B40B86"/>
    <w:rsid w:val="00B42E03"/>
    <w:rsid w:val="00B443E2"/>
    <w:rsid w:val="00B46222"/>
    <w:rsid w:val="00B54092"/>
    <w:rsid w:val="00B5444C"/>
    <w:rsid w:val="00B5568B"/>
    <w:rsid w:val="00B557BF"/>
    <w:rsid w:val="00B55BD6"/>
    <w:rsid w:val="00B56147"/>
    <w:rsid w:val="00B565BF"/>
    <w:rsid w:val="00B5720A"/>
    <w:rsid w:val="00B604A0"/>
    <w:rsid w:val="00B60761"/>
    <w:rsid w:val="00B620A5"/>
    <w:rsid w:val="00B62BB1"/>
    <w:rsid w:val="00B63559"/>
    <w:rsid w:val="00B73979"/>
    <w:rsid w:val="00B751B0"/>
    <w:rsid w:val="00B762E0"/>
    <w:rsid w:val="00B82140"/>
    <w:rsid w:val="00B86C54"/>
    <w:rsid w:val="00B874C4"/>
    <w:rsid w:val="00B97AA2"/>
    <w:rsid w:val="00B97B8E"/>
    <w:rsid w:val="00BA00A8"/>
    <w:rsid w:val="00BA0378"/>
    <w:rsid w:val="00BA15D0"/>
    <w:rsid w:val="00BA37A4"/>
    <w:rsid w:val="00BA4FB0"/>
    <w:rsid w:val="00BA6138"/>
    <w:rsid w:val="00BB1930"/>
    <w:rsid w:val="00BB3478"/>
    <w:rsid w:val="00BC2247"/>
    <w:rsid w:val="00BC5572"/>
    <w:rsid w:val="00BC6279"/>
    <w:rsid w:val="00BC6F73"/>
    <w:rsid w:val="00BD497C"/>
    <w:rsid w:val="00BD57EE"/>
    <w:rsid w:val="00BE4E8A"/>
    <w:rsid w:val="00BF2A79"/>
    <w:rsid w:val="00BF375F"/>
    <w:rsid w:val="00BF4B4D"/>
    <w:rsid w:val="00C0015C"/>
    <w:rsid w:val="00C02372"/>
    <w:rsid w:val="00C044C3"/>
    <w:rsid w:val="00C10453"/>
    <w:rsid w:val="00C13BCA"/>
    <w:rsid w:val="00C141B9"/>
    <w:rsid w:val="00C158CF"/>
    <w:rsid w:val="00C16518"/>
    <w:rsid w:val="00C1787D"/>
    <w:rsid w:val="00C20DCD"/>
    <w:rsid w:val="00C20F14"/>
    <w:rsid w:val="00C22B7C"/>
    <w:rsid w:val="00C3184D"/>
    <w:rsid w:val="00C331FD"/>
    <w:rsid w:val="00C34DCB"/>
    <w:rsid w:val="00C36311"/>
    <w:rsid w:val="00C36D0C"/>
    <w:rsid w:val="00C36FCD"/>
    <w:rsid w:val="00C3708D"/>
    <w:rsid w:val="00C4138A"/>
    <w:rsid w:val="00C41C29"/>
    <w:rsid w:val="00C43D03"/>
    <w:rsid w:val="00C440B4"/>
    <w:rsid w:val="00C446F9"/>
    <w:rsid w:val="00C462CB"/>
    <w:rsid w:val="00C46F39"/>
    <w:rsid w:val="00C47AFE"/>
    <w:rsid w:val="00C5067F"/>
    <w:rsid w:val="00C515C3"/>
    <w:rsid w:val="00C51AA2"/>
    <w:rsid w:val="00C52E43"/>
    <w:rsid w:val="00C57BCB"/>
    <w:rsid w:val="00C609C3"/>
    <w:rsid w:val="00C60E16"/>
    <w:rsid w:val="00C61D54"/>
    <w:rsid w:val="00C65E4E"/>
    <w:rsid w:val="00C66079"/>
    <w:rsid w:val="00C66610"/>
    <w:rsid w:val="00C66648"/>
    <w:rsid w:val="00C66FEF"/>
    <w:rsid w:val="00C70CB4"/>
    <w:rsid w:val="00C727A7"/>
    <w:rsid w:val="00C728D5"/>
    <w:rsid w:val="00C75119"/>
    <w:rsid w:val="00C76DD6"/>
    <w:rsid w:val="00C810B3"/>
    <w:rsid w:val="00C85E0E"/>
    <w:rsid w:val="00C904E5"/>
    <w:rsid w:val="00C90B62"/>
    <w:rsid w:val="00C91C08"/>
    <w:rsid w:val="00C97F0E"/>
    <w:rsid w:val="00CA06AC"/>
    <w:rsid w:val="00CA1D9E"/>
    <w:rsid w:val="00CA242A"/>
    <w:rsid w:val="00CA27BD"/>
    <w:rsid w:val="00CA2AB6"/>
    <w:rsid w:val="00CA4BCC"/>
    <w:rsid w:val="00CB01D6"/>
    <w:rsid w:val="00CB0367"/>
    <w:rsid w:val="00CB22C4"/>
    <w:rsid w:val="00CB311E"/>
    <w:rsid w:val="00CB71E1"/>
    <w:rsid w:val="00CC0ED3"/>
    <w:rsid w:val="00CC1894"/>
    <w:rsid w:val="00CC2EE2"/>
    <w:rsid w:val="00CC3D03"/>
    <w:rsid w:val="00CC45DB"/>
    <w:rsid w:val="00CC4E30"/>
    <w:rsid w:val="00CC73FF"/>
    <w:rsid w:val="00CD141E"/>
    <w:rsid w:val="00CD1A6D"/>
    <w:rsid w:val="00CD45DA"/>
    <w:rsid w:val="00CE2EA4"/>
    <w:rsid w:val="00CE5714"/>
    <w:rsid w:val="00CE6138"/>
    <w:rsid w:val="00CE6F59"/>
    <w:rsid w:val="00CE7AAB"/>
    <w:rsid w:val="00CF2673"/>
    <w:rsid w:val="00CF2DA1"/>
    <w:rsid w:val="00CF43B1"/>
    <w:rsid w:val="00D01A05"/>
    <w:rsid w:val="00D0614B"/>
    <w:rsid w:val="00D06AD1"/>
    <w:rsid w:val="00D10F4F"/>
    <w:rsid w:val="00D17549"/>
    <w:rsid w:val="00D24D97"/>
    <w:rsid w:val="00D25A20"/>
    <w:rsid w:val="00D275F5"/>
    <w:rsid w:val="00D376F1"/>
    <w:rsid w:val="00D43CA8"/>
    <w:rsid w:val="00D4523D"/>
    <w:rsid w:val="00D4593F"/>
    <w:rsid w:val="00D45BD4"/>
    <w:rsid w:val="00D4775B"/>
    <w:rsid w:val="00D47AB8"/>
    <w:rsid w:val="00D55D94"/>
    <w:rsid w:val="00D55E20"/>
    <w:rsid w:val="00D56566"/>
    <w:rsid w:val="00D63CBD"/>
    <w:rsid w:val="00D647A4"/>
    <w:rsid w:val="00D6487A"/>
    <w:rsid w:val="00D648BB"/>
    <w:rsid w:val="00D64E04"/>
    <w:rsid w:val="00D65A5E"/>
    <w:rsid w:val="00D65D8F"/>
    <w:rsid w:val="00D669D1"/>
    <w:rsid w:val="00D7049A"/>
    <w:rsid w:val="00D704F6"/>
    <w:rsid w:val="00D722B1"/>
    <w:rsid w:val="00D74A82"/>
    <w:rsid w:val="00D753F6"/>
    <w:rsid w:val="00D7737D"/>
    <w:rsid w:val="00D80897"/>
    <w:rsid w:val="00D81375"/>
    <w:rsid w:val="00D81E2B"/>
    <w:rsid w:val="00D8540E"/>
    <w:rsid w:val="00D85C4D"/>
    <w:rsid w:val="00D86E4D"/>
    <w:rsid w:val="00D8730B"/>
    <w:rsid w:val="00D9072A"/>
    <w:rsid w:val="00D944A4"/>
    <w:rsid w:val="00D94852"/>
    <w:rsid w:val="00DA039C"/>
    <w:rsid w:val="00DA10B4"/>
    <w:rsid w:val="00DA6EBE"/>
    <w:rsid w:val="00DB27CC"/>
    <w:rsid w:val="00DB2A54"/>
    <w:rsid w:val="00DB4EF9"/>
    <w:rsid w:val="00DC2890"/>
    <w:rsid w:val="00DC29FE"/>
    <w:rsid w:val="00DC2D77"/>
    <w:rsid w:val="00DC430C"/>
    <w:rsid w:val="00DC60FB"/>
    <w:rsid w:val="00DC7319"/>
    <w:rsid w:val="00DC742E"/>
    <w:rsid w:val="00DD38DC"/>
    <w:rsid w:val="00DD63FF"/>
    <w:rsid w:val="00DE1726"/>
    <w:rsid w:val="00DF1BBF"/>
    <w:rsid w:val="00DF25A9"/>
    <w:rsid w:val="00DF3145"/>
    <w:rsid w:val="00DF4B0E"/>
    <w:rsid w:val="00E01E4B"/>
    <w:rsid w:val="00E062B0"/>
    <w:rsid w:val="00E0711E"/>
    <w:rsid w:val="00E0770C"/>
    <w:rsid w:val="00E14DFA"/>
    <w:rsid w:val="00E17EA5"/>
    <w:rsid w:val="00E229DB"/>
    <w:rsid w:val="00E2571A"/>
    <w:rsid w:val="00E26EDC"/>
    <w:rsid w:val="00E2713C"/>
    <w:rsid w:val="00E30B42"/>
    <w:rsid w:val="00E342D7"/>
    <w:rsid w:val="00E35C26"/>
    <w:rsid w:val="00E35D9D"/>
    <w:rsid w:val="00E410EA"/>
    <w:rsid w:val="00E41444"/>
    <w:rsid w:val="00E41D5C"/>
    <w:rsid w:val="00E437F7"/>
    <w:rsid w:val="00E43ACA"/>
    <w:rsid w:val="00E445E6"/>
    <w:rsid w:val="00E529F9"/>
    <w:rsid w:val="00E54E64"/>
    <w:rsid w:val="00E55017"/>
    <w:rsid w:val="00E55416"/>
    <w:rsid w:val="00E55650"/>
    <w:rsid w:val="00E557D1"/>
    <w:rsid w:val="00E56282"/>
    <w:rsid w:val="00E616BF"/>
    <w:rsid w:val="00E658AA"/>
    <w:rsid w:val="00E6656A"/>
    <w:rsid w:val="00E70D30"/>
    <w:rsid w:val="00E716BA"/>
    <w:rsid w:val="00E721FA"/>
    <w:rsid w:val="00E75977"/>
    <w:rsid w:val="00E76431"/>
    <w:rsid w:val="00E7686D"/>
    <w:rsid w:val="00E813BA"/>
    <w:rsid w:val="00E8590C"/>
    <w:rsid w:val="00E85F76"/>
    <w:rsid w:val="00E878B0"/>
    <w:rsid w:val="00E93590"/>
    <w:rsid w:val="00E94506"/>
    <w:rsid w:val="00E95A7B"/>
    <w:rsid w:val="00E967D6"/>
    <w:rsid w:val="00E969E9"/>
    <w:rsid w:val="00EA01A0"/>
    <w:rsid w:val="00EA155A"/>
    <w:rsid w:val="00EA24D4"/>
    <w:rsid w:val="00EA2851"/>
    <w:rsid w:val="00EA3515"/>
    <w:rsid w:val="00EA55FE"/>
    <w:rsid w:val="00EB0B4F"/>
    <w:rsid w:val="00EB1B59"/>
    <w:rsid w:val="00EB30D0"/>
    <w:rsid w:val="00EB4384"/>
    <w:rsid w:val="00EB6065"/>
    <w:rsid w:val="00EC0826"/>
    <w:rsid w:val="00EC4E99"/>
    <w:rsid w:val="00EC5D01"/>
    <w:rsid w:val="00ED05B9"/>
    <w:rsid w:val="00ED07F0"/>
    <w:rsid w:val="00ED3A21"/>
    <w:rsid w:val="00ED42FF"/>
    <w:rsid w:val="00ED54F9"/>
    <w:rsid w:val="00ED6982"/>
    <w:rsid w:val="00EE0218"/>
    <w:rsid w:val="00EE0E54"/>
    <w:rsid w:val="00EE1033"/>
    <w:rsid w:val="00EE4ABC"/>
    <w:rsid w:val="00EE71CB"/>
    <w:rsid w:val="00EF24BB"/>
    <w:rsid w:val="00EF2B90"/>
    <w:rsid w:val="00EF32F6"/>
    <w:rsid w:val="00EF4114"/>
    <w:rsid w:val="00EF448F"/>
    <w:rsid w:val="00EF4634"/>
    <w:rsid w:val="00EF472E"/>
    <w:rsid w:val="00EF4A5A"/>
    <w:rsid w:val="00EF4EC4"/>
    <w:rsid w:val="00EF66A9"/>
    <w:rsid w:val="00EF74D8"/>
    <w:rsid w:val="00EF7AC1"/>
    <w:rsid w:val="00F01898"/>
    <w:rsid w:val="00F05EE0"/>
    <w:rsid w:val="00F06985"/>
    <w:rsid w:val="00F07DE8"/>
    <w:rsid w:val="00F11F17"/>
    <w:rsid w:val="00F156B3"/>
    <w:rsid w:val="00F15FD8"/>
    <w:rsid w:val="00F21A1A"/>
    <w:rsid w:val="00F22813"/>
    <w:rsid w:val="00F22FC8"/>
    <w:rsid w:val="00F26A04"/>
    <w:rsid w:val="00F27F36"/>
    <w:rsid w:val="00F32709"/>
    <w:rsid w:val="00F32B8C"/>
    <w:rsid w:val="00F33383"/>
    <w:rsid w:val="00F33D5B"/>
    <w:rsid w:val="00F348F5"/>
    <w:rsid w:val="00F376CC"/>
    <w:rsid w:val="00F4030B"/>
    <w:rsid w:val="00F42F65"/>
    <w:rsid w:val="00F444F5"/>
    <w:rsid w:val="00F4602E"/>
    <w:rsid w:val="00F46BCF"/>
    <w:rsid w:val="00F515AF"/>
    <w:rsid w:val="00F52F3C"/>
    <w:rsid w:val="00F53E05"/>
    <w:rsid w:val="00F5550A"/>
    <w:rsid w:val="00F55A56"/>
    <w:rsid w:val="00F56088"/>
    <w:rsid w:val="00F56F75"/>
    <w:rsid w:val="00F6031D"/>
    <w:rsid w:val="00F61303"/>
    <w:rsid w:val="00F65606"/>
    <w:rsid w:val="00F65CA8"/>
    <w:rsid w:val="00F66614"/>
    <w:rsid w:val="00F67764"/>
    <w:rsid w:val="00F71232"/>
    <w:rsid w:val="00F74722"/>
    <w:rsid w:val="00F75F45"/>
    <w:rsid w:val="00F77585"/>
    <w:rsid w:val="00F82957"/>
    <w:rsid w:val="00F8379E"/>
    <w:rsid w:val="00F83BD2"/>
    <w:rsid w:val="00F857CA"/>
    <w:rsid w:val="00F900CA"/>
    <w:rsid w:val="00F92C2B"/>
    <w:rsid w:val="00F94241"/>
    <w:rsid w:val="00F945CD"/>
    <w:rsid w:val="00F95ECF"/>
    <w:rsid w:val="00F9792C"/>
    <w:rsid w:val="00F97AAA"/>
    <w:rsid w:val="00FA4AD8"/>
    <w:rsid w:val="00FA4FB2"/>
    <w:rsid w:val="00FB3597"/>
    <w:rsid w:val="00FB53CA"/>
    <w:rsid w:val="00FC3750"/>
    <w:rsid w:val="00FC487C"/>
    <w:rsid w:val="00FC51A5"/>
    <w:rsid w:val="00FC6D8C"/>
    <w:rsid w:val="00FC7383"/>
    <w:rsid w:val="00FD0B36"/>
    <w:rsid w:val="00FD168A"/>
    <w:rsid w:val="00FD3643"/>
    <w:rsid w:val="00FD553C"/>
    <w:rsid w:val="00FD6F5E"/>
    <w:rsid w:val="00FE087D"/>
    <w:rsid w:val="00FE133D"/>
    <w:rsid w:val="00FE174B"/>
    <w:rsid w:val="00FE2090"/>
    <w:rsid w:val="00FE359D"/>
    <w:rsid w:val="00FE47EA"/>
    <w:rsid w:val="00FE4D5F"/>
    <w:rsid w:val="00FE7BC4"/>
    <w:rsid w:val="00FF29D4"/>
    <w:rsid w:val="00FF3409"/>
    <w:rsid w:val="00FF388D"/>
    <w:rsid w:val="07BB67DE"/>
    <w:rsid w:val="10156CA8"/>
    <w:rsid w:val="1844637C"/>
    <w:rsid w:val="2CF379AB"/>
    <w:rsid w:val="3F723C03"/>
    <w:rsid w:val="532A3FBA"/>
    <w:rsid w:val="766210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5EBA90"/>
  <w15:docId w15:val="{A58209C8-072A-49CB-8ABE-D2B93015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5A20"/>
    <w:rPr>
      <w:rFonts w:eastAsia="MS Mincho"/>
      <w:sz w:val="24"/>
      <w:szCs w:val="24"/>
      <w:lang w:val="de-DE" w:eastAsia="ja-JP"/>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rPr>
      <w:sz w:val="20"/>
      <w:szCs w:val="20"/>
      <w:lang w:val="zh-CN"/>
    </w:rPr>
  </w:style>
  <w:style w:type="paragraph" w:styleId="a5">
    <w:name w:val="Balloon Text"/>
    <w:basedOn w:val="a"/>
    <w:semiHidden/>
    <w:qFormat/>
    <w:rPr>
      <w:rFonts w:ascii="Tahoma" w:hAnsi="Tahoma" w:cs="Tahoma"/>
      <w:sz w:val="16"/>
      <w:szCs w:val="16"/>
    </w:rPr>
  </w:style>
  <w:style w:type="paragraph" w:styleId="a6">
    <w:name w:val="footer"/>
    <w:basedOn w:val="a"/>
    <w:link w:val="a7"/>
    <w:uiPriority w:val="99"/>
    <w:qFormat/>
    <w:pPr>
      <w:tabs>
        <w:tab w:val="center" w:pos="4536"/>
        <w:tab w:val="right" w:pos="9072"/>
      </w:tabs>
    </w:pPr>
  </w:style>
  <w:style w:type="paragraph" w:styleId="a8">
    <w:name w:val="header"/>
    <w:basedOn w:val="a"/>
    <w:link w:val="a9"/>
    <w:qFormat/>
    <w:pPr>
      <w:tabs>
        <w:tab w:val="center" w:pos="4536"/>
        <w:tab w:val="right" w:pos="9072"/>
      </w:tabs>
    </w:pPr>
    <w:rPr>
      <w:lang w:val="zh-CN"/>
    </w:rPr>
  </w:style>
  <w:style w:type="paragraph" w:styleId="aa">
    <w:name w:val="footnote text"/>
    <w:basedOn w:val="a"/>
    <w:semiHidden/>
    <w:pPr>
      <w:keepLines/>
      <w:widowControl w:val="0"/>
      <w:jc w:val="both"/>
    </w:pPr>
    <w:rPr>
      <w:rFonts w:eastAsia="Times New Roman"/>
      <w:sz w:val="20"/>
      <w:szCs w:val="20"/>
      <w:lang w:val="en-GB" w:eastAsia="ro-RO"/>
    </w:rPr>
  </w:style>
  <w:style w:type="paragraph" w:styleId="ab">
    <w:name w:val="annotation subject"/>
    <w:basedOn w:val="a3"/>
    <w:next w:val="a3"/>
    <w:link w:val="ac"/>
    <w:uiPriority w:val="99"/>
    <w:semiHidden/>
    <w:unhideWhenUsed/>
    <w:rPr>
      <w:b/>
      <w:bCs/>
    </w:rPr>
  </w:style>
  <w:style w:type="character" w:styleId="ad">
    <w:name w:val="page number"/>
  </w:style>
  <w:style w:type="character" w:styleId="ae">
    <w:name w:val="Hyperlink"/>
    <w:qFormat/>
    <w:rPr>
      <w:color w:val="0000FF"/>
      <w:u w:val="single"/>
    </w:rPr>
  </w:style>
  <w:style w:type="character" w:styleId="af">
    <w:name w:val="annotation reference"/>
    <w:uiPriority w:val="99"/>
    <w:semiHidden/>
    <w:unhideWhenUsed/>
    <w:qFormat/>
    <w:rPr>
      <w:sz w:val="16"/>
      <w:szCs w:val="16"/>
    </w:rPr>
  </w:style>
  <w:style w:type="paragraph" w:customStyle="1" w:styleId="History">
    <w:name w:val="History"/>
    <w:basedOn w:val="a"/>
    <w:pPr>
      <w:spacing w:before="230" w:after="460" w:line="180" w:lineRule="exact"/>
      <w:jc w:val="right"/>
    </w:pPr>
    <w:rPr>
      <w:rFonts w:ascii="Arial" w:hAnsi="Arial"/>
      <w:sz w:val="14"/>
      <w:szCs w:val="16"/>
    </w:rPr>
  </w:style>
  <w:style w:type="paragraph" w:customStyle="1" w:styleId="References">
    <w:name w:val="References"/>
    <w:basedOn w:val="a"/>
    <w:pPr>
      <w:spacing w:line="200" w:lineRule="exact"/>
      <w:ind w:left="425" w:hanging="425"/>
      <w:jc w:val="both"/>
    </w:pPr>
    <w:rPr>
      <w:sz w:val="15"/>
      <w:szCs w:val="14"/>
      <w:lang w:val="en-GB"/>
    </w:rPr>
  </w:style>
  <w:style w:type="paragraph" w:customStyle="1" w:styleId="HExperimentalSection">
    <w:name w:val="HExperimental_Section"/>
    <w:basedOn w:val="a"/>
    <w:pPr>
      <w:spacing w:before="460" w:after="230" w:line="230" w:lineRule="atLeast"/>
    </w:pPr>
    <w:rPr>
      <w:i/>
      <w:szCs w:val="20"/>
    </w:rPr>
  </w:style>
  <w:style w:type="paragraph" w:customStyle="1" w:styleId="ExperimentalSection">
    <w:name w:val="ExperimentalSection"/>
    <w:basedOn w:val="a"/>
    <w:pPr>
      <w:spacing w:after="240" w:line="200" w:lineRule="exact"/>
      <w:ind w:firstLine="170"/>
      <w:jc w:val="both"/>
    </w:pPr>
    <w:rPr>
      <w:sz w:val="16"/>
      <w:szCs w:val="14"/>
      <w:lang w:val="en-GB"/>
    </w:rPr>
  </w:style>
  <w:style w:type="paragraph" w:customStyle="1" w:styleId="FNB">
    <w:name w:val="FNB"/>
    <w:basedOn w:val="a"/>
    <w:link w:val="FNBChar"/>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a"/>
  </w:style>
  <w:style w:type="paragraph" w:customStyle="1" w:styleId="TableCaption">
    <w:name w:val="TableCaption"/>
    <w:basedOn w:val="a"/>
    <w:qFormat/>
    <w:pPr>
      <w:spacing w:after="120" w:line="190" w:lineRule="exact"/>
      <w:jc w:val="both"/>
    </w:pPr>
    <w:rPr>
      <w:rFonts w:ascii="Arial" w:hAnsi="Arial"/>
      <w:sz w:val="16"/>
      <w:szCs w:val="14"/>
      <w:lang w:val="en-GB"/>
    </w:rPr>
  </w:style>
  <w:style w:type="paragraph" w:customStyle="1" w:styleId="TableHead">
    <w:name w:val="TableHead"/>
    <w:basedOn w:val="TableCaption"/>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style>
  <w:style w:type="paragraph" w:customStyle="1" w:styleId="TableFoot">
    <w:name w:val="TableFoot"/>
    <w:basedOn w:val="TableBody"/>
    <w:qFormat/>
    <w:pPr>
      <w:spacing w:before="60" w:after="60"/>
    </w:pPr>
  </w:style>
  <w:style w:type="paragraph" w:customStyle="1" w:styleId="SchemeCaption">
    <w:name w:val="SchemeCaption"/>
    <w:basedOn w:val="a"/>
    <w:qFormat/>
    <w:pPr>
      <w:spacing w:before="230" w:after="460" w:line="190" w:lineRule="exact"/>
      <w:jc w:val="both"/>
    </w:pPr>
    <w:rPr>
      <w:rFonts w:ascii="Arial" w:hAnsi="Arial"/>
      <w:sz w:val="16"/>
      <w:szCs w:val="14"/>
      <w:lang w:val="en-GB"/>
    </w:rPr>
  </w:style>
  <w:style w:type="paragraph" w:customStyle="1" w:styleId="STOE">
    <w:name w:val="STOE"/>
    <w:basedOn w:val="a"/>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a"/>
    <w:rPr>
      <w:b/>
      <w:lang w:val="en-US"/>
    </w:rPr>
  </w:style>
  <w:style w:type="paragraph" w:customStyle="1" w:styleId="AuthorsFull">
    <w:name w:val="Authors Full"/>
    <w:basedOn w:val="a"/>
    <w:rPr>
      <w:i/>
      <w:lang w:val="en-US"/>
    </w:rPr>
  </w:style>
  <w:style w:type="paragraph" w:customStyle="1" w:styleId="dedication">
    <w:name w:val="dedication"/>
    <w:basedOn w:val="a"/>
    <w:qFormat/>
    <w:rPr>
      <w:i/>
      <w:lang w:val="en-US"/>
    </w:rPr>
  </w:style>
  <w:style w:type="paragraph" w:customStyle="1" w:styleId="Addresses">
    <w:name w:val="Addresses"/>
    <w:basedOn w:val="a"/>
    <w:rPr>
      <w:lang w:val="en-US"/>
    </w:rPr>
  </w:style>
  <w:style w:type="paragraph" w:customStyle="1" w:styleId="Acknowledgements">
    <w:name w:val="Acknowledgements"/>
    <w:basedOn w:val="a"/>
    <w:qFormat/>
    <w:rPr>
      <w:lang w:val="en-US"/>
    </w:rPr>
  </w:style>
  <w:style w:type="paragraph" w:customStyle="1" w:styleId="Abstract">
    <w:name w:val="Abstract"/>
    <w:basedOn w:val="a"/>
    <w:qFormat/>
    <w:pPr>
      <w:spacing w:line="480" w:lineRule="auto"/>
    </w:pPr>
    <w:rPr>
      <w:color w:val="FF0000"/>
      <w:lang w:val="en-US"/>
    </w:rPr>
  </w:style>
  <w:style w:type="paragraph" w:customStyle="1" w:styleId="Head1">
    <w:name w:val="Head 1"/>
    <w:basedOn w:val="a"/>
    <w:pPr>
      <w:spacing w:beforeLines="100" w:before="240" w:afterLines="100" w:after="240" w:line="360" w:lineRule="auto"/>
    </w:pPr>
    <w:rPr>
      <w:b/>
      <w:sz w:val="28"/>
      <w:szCs w:val="28"/>
      <w:lang w:val="en-US"/>
    </w:rPr>
  </w:style>
  <w:style w:type="paragraph" w:customStyle="1" w:styleId="Head2">
    <w:name w:val="Head 2"/>
    <w:basedOn w:val="a"/>
    <w:qFormat/>
    <w:pPr>
      <w:spacing w:line="360" w:lineRule="auto"/>
    </w:pPr>
    <w:rPr>
      <w:i/>
      <w:lang w:val="en-US"/>
    </w:rPr>
  </w:style>
  <w:style w:type="paragraph" w:customStyle="1" w:styleId="dates">
    <w:name w:val="dates"/>
    <w:basedOn w:val="a"/>
    <w:qFormat/>
    <w:pPr>
      <w:jc w:val="right"/>
    </w:pPr>
    <w:rPr>
      <w:lang w:val="en-US"/>
    </w:rPr>
  </w:style>
  <w:style w:type="paragraph" w:customStyle="1" w:styleId="Literature">
    <w:name w:val="Literature"/>
    <w:basedOn w:val="a"/>
    <w:qFormat/>
    <w:pPr>
      <w:spacing w:line="480" w:lineRule="auto"/>
    </w:pPr>
  </w:style>
  <w:style w:type="paragraph" w:customStyle="1" w:styleId="Legend">
    <w:name w:val="Legend"/>
    <w:basedOn w:val="a"/>
    <w:qFormat/>
    <w:rPr>
      <w:lang w:val="en-US"/>
    </w:rPr>
  </w:style>
  <w:style w:type="paragraph" w:customStyle="1" w:styleId="MainText">
    <w:name w:val="Main Text"/>
    <w:basedOn w:val="a"/>
    <w:link w:val="MainTextChar"/>
    <w:qFormat/>
    <w:pPr>
      <w:spacing w:line="480" w:lineRule="auto"/>
    </w:pPr>
    <w:rPr>
      <w:lang w:val="en-US"/>
    </w:rPr>
  </w:style>
  <w:style w:type="paragraph" w:customStyle="1" w:styleId="Tableofcontents">
    <w:name w:val="Table of contents"/>
    <w:basedOn w:val="a"/>
    <w:qFormat/>
    <w:rPr>
      <w:lang w:val="en-US"/>
    </w:rPr>
  </w:style>
  <w:style w:type="paragraph" w:customStyle="1" w:styleId="ExperimentalText">
    <w:name w:val="Experimental Text"/>
    <w:basedOn w:val="a"/>
    <w:link w:val="ExperimentalTextChar"/>
    <w:qFormat/>
    <w:pPr>
      <w:spacing w:line="480" w:lineRule="auto"/>
    </w:pPr>
    <w:rPr>
      <w:lang w:val="en-US"/>
    </w:rPr>
  </w:style>
  <w:style w:type="character" w:customStyle="1" w:styleId="ExperimentalTextChar">
    <w:name w:val="Experimental Text Char"/>
    <w:link w:val="ExperimentalTex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a"/>
    <w:qFormat/>
    <w:rPr>
      <w:b/>
      <w:lang w:val="en-US"/>
    </w:rPr>
  </w:style>
  <w:style w:type="paragraph" w:customStyle="1" w:styleId="Dedication0">
    <w:name w:val="Dedication"/>
    <w:basedOn w:val="a"/>
    <w:qFormat/>
    <w:rPr>
      <w:lang w:val="en-US"/>
    </w:rPr>
  </w:style>
  <w:style w:type="paragraph" w:customStyle="1" w:styleId="Maintext0">
    <w:name w:val="Main text"/>
    <w:basedOn w:val="a"/>
    <w:link w:val="MaintextChar0"/>
    <w:qFormat/>
    <w:pPr>
      <w:spacing w:line="480" w:lineRule="auto"/>
    </w:pPr>
    <w:rPr>
      <w:lang w:val="en-US"/>
    </w:rPr>
  </w:style>
  <w:style w:type="character" w:customStyle="1" w:styleId="MaintextChar0">
    <w:name w:val="Main text Char"/>
    <w:link w:val="Maintext0"/>
    <w:qFormat/>
    <w:rPr>
      <w:sz w:val="24"/>
      <w:szCs w:val="24"/>
      <w:lang w:val="en-US" w:eastAsia="ja-JP"/>
    </w:rPr>
  </w:style>
  <w:style w:type="paragraph" w:customStyle="1" w:styleId="Biography">
    <w:name w:val="Biography"/>
    <w:basedOn w:val="a"/>
    <w:qFormat/>
    <w:rPr>
      <w:i/>
      <w:lang w:val="en-US"/>
    </w:rPr>
  </w:style>
  <w:style w:type="character" w:customStyle="1" w:styleId="a9">
    <w:name w:val="页眉 字符"/>
    <w:link w:val="a8"/>
    <w:qFormat/>
    <w:rPr>
      <w:sz w:val="24"/>
      <w:szCs w:val="24"/>
      <w:lang w:eastAsia="ja-JP"/>
    </w:rPr>
  </w:style>
  <w:style w:type="character" w:customStyle="1" w:styleId="a4">
    <w:name w:val="批注文字 字符"/>
    <w:link w:val="a3"/>
    <w:uiPriority w:val="99"/>
    <w:semiHidden/>
    <w:qFormat/>
    <w:rPr>
      <w:lang w:eastAsia="ja-JP"/>
    </w:rPr>
  </w:style>
  <w:style w:type="character" w:customStyle="1" w:styleId="ac">
    <w:name w:val="批注主题 字符"/>
    <w:link w:val="ab"/>
    <w:uiPriority w:val="99"/>
    <w:semiHidden/>
    <w:rPr>
      <w:b/>
      <w:bCs/>
      <w:lang w:eastAsia="ja-JP"/>
    </w:rPr>
  </w:style>
  <w:style w:type="character" w:customStyle="1" w:styleId="a7">
    <w:name w:val="页脚 字符"/>
    <w:link w:val="a6"/>
    <w:uiPriority w:val="99"/>
    <w:rPr>
      <w:sz w:val="24"/>
      <w:szCs w:val="24"/>
      <w:lang w:eastAsia="ja-JP"/>
    </w:rPr>
  </w:style>
  <w:style w:type="paragraph" w:customStyle="1" w:styleId="BATitle">
    <w:name w:val="BA_Title"/>
    <w:basedOn w:val="a"/>
    <w:next w:val="a"/>
    <w:pPr>
      <w:spacing w:before="720" w:after="360" w:line="480" w:lineRule="auto"/>
      <w:jc w:val="center"/>
    </w:pPr>
    <w:rPr>
      <w:rFonts w:eastAsia="宋体"/>
      <w:sz w:val="44"/>
      <w:szCs w:val="20"/>
      <w:lang w:val="en-US" w:eastAsia="en-US"/>
    </w:rPr>
  </w:style>
  <w:style w:type="paragraph" w:customStyle="1" w:styleId="BCAuthorAddress">
    <w:name w:val="BC_Author_Address"/>
    <w:basedOn w:val="a"/>
    <w:next w:val="BIEmailAddress"/>
    <w:qFormat/>
    <w:pPr>
      <w:spacing w:after="240" w:line="480" w:lineRule="auto"/>
      <w:jc w:val="center"/>
    </w:pPr>
    <w:rPr>
      <w:rFonts w:ascii="Times" w:eastAsia="宋体" w:hAnsi="Times"/>
      <w:szCs w:val="20"/>
      <w:lang w:val="en-US" w:eastAsia="en-US"/>
    </w:rPr>
  </w:style>
  <w:style w:type="paragraph" w:customStyle="1" w:styleId="BIEmailAddress">
    <w:name w:val="BI_Email_Address"/>
    <w:basedOn w:val="a"/>
    <w:next w:val="a"/>
    <w:pPr>
      <w:spacing w:after="200" w:line="480" w:lineRule="auto"/>
      <w:jc w:val="both"/>
    </w:pPr>
    <w:rPr>
      <w:rFonts w:ascii="Times" w:eastAsia="宋体" w:hAnsi="Times"/>
      <w:szCs w:val="20"/>
      <w:lang w:val="en-US" w:eastAsia="en-US"/>
    </w:rPr>
  </w:style>
  <w:style w:type="paragraph" w:customStyle="1" w:styleId="FACorrespondingAuthorFootnote">
    <w:name w:val="FA_Corresponding_Author_Footnote"/>
    <w:basedOn w:val="a"/>
    <w:next w:val="a"/>
    <w:pPr>
      <w:spacing w:after="200" w:line="480" w:lineRule="auto"/>
      <w:jc w:val="both"/>
    </w:pPr>
    <w:rPr>
      <w:rFonts w:ascii="Times" w:eastAsia="宋体" w:hAnsi="Times"/>
      <w:szCs w:val="20"/>
      <w:lang w:val="en-US" w:eastAsia="en-US"/>
    </w:rPr>
  </w:style>
  <w:style w:type="paragraph" w:customStyle="1" w:styleId="TAMainText">
    <w:name w:val="TA_Main_Text"/>
    <w:basedOn w:val="a"/>
    <w:link w:val="TAMainTextChar"/>
    <w:qFormat/>
    <w:pPr>
      <w:spacing w:line="480" w:lineRule="auto"/>
      <w:ind w:firstLine="202"/>
      <w:jc w:val="both"/>
    </w:pPr>
    <w:rPr>
      <w:rFonts w:ascii="Times" w:eastAsia="宋体" w:hAnsi="Times"/>
      <w:szCs w:val="20"/>
      <w:lang w:val="en-US" w:eastAsia="en-US"/>
    </w:rPr>
  </w:style>
  <w:style w:type="character" w:customStyle="1" w:styleId="TAMainTextChar">
    <w:name w:val="TA_Main_Text Char"/>
    <w:link w:val="TAMainText"/>
    <w:qFormat/>
    <w:rPr>
      <w:rFonts w:ascii="Times" w:eastAsia="宋体" w:hAnsi="Times"/>
      <w:sz w:val="24"/>
      <w:lang w:eastAsia="en-US"/>
    </w:rPr>
  </w:style>
  <w:style w:type="paragraph" w:customStyle="1" w:styleId="VAFigureCaption">
    <w:name w:val="VA_Figure_Caption"/>
    <w:basedOn w:val="a"/>
    <w:next w:val="a"/>
    <w:qFormat/>
    <w:pPr>
      <w:spacing w:after="200" w:line="480" w:lineRule="auto"/>
      <w:jc w:val="both"/>
    </w:pPr>
    <w:rPr>
      <w:rFonts w:ascii="Times" w:eastAsia="宋体" w:hAnsi="Times"/>
      <w:szCs w:val="20"/>
      <w:lang w:val="en-US" w:eastAsia="en-US"/>
    </w:rPr>
  </w:style>
  <w:style w:type="paragraph" w:customStyle="1" w:styleId="TFReferencesSection">
    <w:name w:val="TF_References_Section"/>
    <w:basedOn w:val="a"/>
    <w:pPr>
      <w:spacing w:after="200" w:line="480" w:lineRule="auto"/>
      <w:ind w:firstLine="187"/>
      <w:jc w:val="both"/>
    </w:pPr>
    <w:rPr>
      <w:rFonts w:ascii="Times" w:eastAsia="宋体" w:hAnsi="Times"/>
      <w:szCs w:val="20"/>
      <w:lang w:val="en-US" w:eastAsia="en-US"/>
    </w:rPr>
  </w:style>
  <w:style w:type="paragraph" w:styleId="af0">
    <w:name w:val="List Paragraph"/>
    <w:basedOn w:val="a"/>
    <w:uiPriority w:val="34"/>
    <w:qFormat/>
    <w:pPr>
      <w:ind w:left="720"/>
      <w:contextualSpacing/>
      <w:jc w:val="both"/>
    </w:pPr>
    <w:rPr>
      <w:rFonts w:ascii="Calibri" w:eastAsia="Calibri" w:hAnsi="Calibri"/>
      <w:sz w:val="22"/>
      <w:szCs w:val="22"/>
      <w:lang w:val="en-AU" w:eastAsia="en-US"/>
    </w:rPr>
  </w:style>
  <w:style w:type="character" w:customStyle="1" w:styleId="1">
    <w:name w:val="未处理的提及1"/>
    <w:uiPriority w:val="99"/>
    <w:semiHidden/>
    <w:unhideWhenUsed/>
    <w:rPr>
      <w:color w:val="605E5C"/>
      <w:shd w:val="clear" w:color="auto" w:fill="E1DFDD"/>
    </w:rPr>
  </w:style>
  <w:style w:type="paragraph" w:customStyle="1" w:styleId="EndNoteBibliography">
    <w:name w:val="EndNote Bibliography"/>
    <w:basedOn w:val="a"/>
    <w:qFormat/>
    <w:rsid w:val="00375A3A"/>
    <w:pPr>
      <w:jc w:val="both"/>
    </w:pPr>
    <w:rPr>
      <w:rFonts w:eastAsia="宋体"/>
      <w:kern w:val="2"/>
      <w:sz w:val="20"/>
      <w:lang w:val="en-US" w:eastAsia="zh-CN"/>
    </w:rPr>
  </w:style>
  <w:style w:type="table" w:customStyle="1" w:styleId="2">
    <w:name w:val="网格型2"/>
    <w:basedOn w:val="a1"/>
    <w:next w:val="af1"/>
    <w:uiPriority w:val="39"/>
    <w:qFormat/>
    <w:rsid w:val="00C57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a"/>
    <w:link w:val="BodyChar"/>
    <w:qFormat/>
    <w:rsid w:val="00C57BCB"/>
    <w:pPr>
      <w:spacing w:after="240" w:line="480" w:lineRule="auto"/>
      <w:jc w:val="both"/>
    </w:pPr>
    <w:rPr>
      <w:rFonts w:ascii="Gotham Book Regular" w:eastAsia="Times New Roman" w:hAnsi="Gotham Book Regular" w:cs="Arial"/>
      <w:kern w:val="2"/>
      <w:sz w:val="21"/>
      <w:lang w:val="en-US" w:eastAsia="zh-CN"/>
    </w:rPr>
  </w:style>
  <w:style w:type="character" w:customStyle="1" w:styleId="BodyChar">
    <w:name w:val="Body Char"/>
    <w:basedOn w:val="a0"/>
    <w:link w:val="Body"/>
    <w:rsid w:val="00C57BCB"/>
    <w:rPr>
      <w:rFonts w:ascii="Gotham Book Regular" w:eastAsia="Times New Roman" w:hAnsi="Gotham Book Regular" w:cs="Arial"/>
      <w:kern w:val="2"/>
      <w:sz w:val="21"/>
      <w:szCs w:val="24"/>
    </w:rPr>
  </w:style>
  <w:style w:type="table" w:styleId="af1">
    <w:name w:val="Table Grid"/>
    <w:basedOn w:val="a1"/>
    <w:uiPriority w:val="59"/>
    <w:rsid w:val="00C57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Revision"/>
    <w:hidden/>
    <w:uiPriority w:val="99"/>
    <w:semiHidden/>
    <w:rsid w:val="00E54E64"/>
    <w:rPr>
      <w:rFonts w:eastAsia="MS Mincho"/>
      <w:sz w:val="24"/>
      <w:szCs w:val="24"/>
      <w:lang w:val="de-DE" w:eastAsia="ja-JP"/>
    </w:rPr>
  </w:style>
  <w:style w:type="character" w:styleId="af3">
    <w:name w:val="Unresolved Mention"/>
    <w:basedOn w:val="a0"/>
    <w:uiPriority w:val="99"/>
    <w:semiHidden/>
    <w:unhideWhenUsed/>
    <w:rsid w:val="00404A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38/s41467-024-51359-w" TargetMode="External"/><Relationship Id="rId21" Type="http://schemas.openxmlformats.org/officeDocument/2006/relationships/hyperlink" Target="https://doi.org/10.1021/acs.chemmater.2c02146" TargetMode="External"/><Relationship Id="rId34" Type="http://schemas.openxmlformats.org/officeDocument/2006/relationships/hyperlink" Target="https://doi.org/10.1002/aenm.202304477" TargetMode="External"/><Relationship Id="rId42" Type="http://schemas.openxmlformats.org/officeDocument/2006/relationships/hyperlink" Target="https://doi.org/10.1039/D0TA03683H" TargetMode="External"/><Relationship Id="rId47" Type="http://schemas.openxmlformats.org/officeDocument/2006/relationships/hyperlink" Target="https://doi.org/10.1039/D2EE02107B" TargetMode="External"/><Relationship Id="rId50" Type="http://schemas.openxmlformats.org/officeDocument/2006/relationships/hyperlink" Target="https://doi.org/10.1016/j.cej.2023.145131" TargetMode="External"/><Relationship Id="rId55" Type="http://schemas.openxmlformats.org/officeDocument/2006/relationships/hyperlink" Target="https://doi.org/10.1002/adma.201703527" TargetMode="External"/><Relationship Id="rId63" Type="http://schemas.openxmlformats.org/officeDocument/2006/relationships/hyperlink" Target="https://doi.org/10.1002/adfm.201704389"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002/adma.201302845" TargetMode="External"/><Relationship Id="rId29" Type="http://schemas.openxmlformats.org/officeDocument/2006/relationships/hyperlink" Target="https://doi.org/10.1002/adma.202408934" TargetMode="External"/><Relationship Id="rId11" Type="http://schemas.openxmlformats.org/officeDocument/2006/relationships/hyperlink" Target="mailto:zsbo@bnu.edu.cn" TargetMode="External"/><Relationship Id="rId24" Type="http://schemas.openxmlformats.org/officeDocument/2006/relationships/hyperlink" Target="https://doi.org/10.1002/anie.202404297" TargetMode="External"/><Relationship Id="rId32" Type="http://schemas.openxmlformats.org/officeDocument/2006/relationships/hyperlink" Target="https://doi.org/10.1002/anie.202406153" TargetMode="External"/><Relationship Id="rId37" Type="http://schemas.openxmlformats.org/officeDocument/2006/relationships/hyperlink" Target="https://doi.org/10.1039/D3CC04570F" TargetMode="External"/><Relationship Id="rId40" Type="http://schemas.openxmlformats.org/officeDocument/2006/relationships/hyperlink" Target="https://doi.org/10.1002/aenm.202102591" TargetMode="External"/><Relationship Id="rId45" Type="http://schemas.openxmlformats.org/officeDocument/2006/relationships/hyperlink" Target="https://doi.org/10.1038/s41467-019-10098-z" TargetMode="External"/><Relationship Id="rId53" Type="http://schemas.openxmlformats.org/officeDocument/2006/relationships/hyperlink" Target="https://doi.org/10.1021/acsami.2c01190" TargetMode="External"/><Relationship Id="rId58" Type="http://schemas.openxmlformats.org/officeDocument/2006/relationships/hyperlink" Target="https://doi.org/10.1007/s40820-024-01576-1"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doi.org/10.1021/jacs.0c04890" TargetMode="External"/><Relationship Id="rId19" Type="http://schemas.openxmlformats.org/officeDocument/2006/relationships/hyperlink" Target="https://doi.org/10.1039/D2EE00887D" TargetMode="External"/><Relationship Id="rId14" Type="http://schemas.openxmlformats.org/officeDocument/2006/relationships/hyperlink" Target="https://doi.org/10.1002/aenm.202202729" TargetMode="External"/><Relationship Id="rId22" Type="http://schemas.openxmlformats.org/officeDocument/2006/relationships/hyperlink" Target="https://doi.org/10.1021/jacs.4c01503" TargetMode="External"/><Relationship Id="rId27" Type="http://schemas.openxmlformats.org/officeDocument/2006/relationships/hyperlink" Target="https://doi.org/10.1002/adma.202406690" TargetMode="External"/><Relationship Id="rId30" Type="http://schemas.openxmlformats.org/officeDocument/2006/relationships/hyperlink" Target="https://doi.org/10.1038/s41560-024-01564-0" TargetMode="External"/><Relationship Id="rId35" Type="http://schemas.openxmlformats.org/officeDocument/2006/relationships/hyperlink" Target="https://doi.org/10.1039/D2TC03701G" TargetMode="External"/><Relationship Id="rId43" Type="http://schemas.openxmlformats.org/officeDocument/2006/relationships/hyperlink" Target="https://doi.org/10.1002/anie.202318143" TargetMode="External"/><Relationship Id="rId48" Type="http://schemas.openxmlformats.org/officeDocument/2006/relationships/hyperlink" Target="https://doi.org/10.1002/adfm.202300323" TargetMode="External"/><Relationship Id="rId56" Type="http://schemas.openxmlformats.org/officeDocument/2006/relationships/hyperlink" Target="https://doi.org/10.1039/D1TC04425G" TargetMode="External"/><Relationship Id="rId64"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doi.org/10.1002/cjoc.202200673" TargetMode="External"/><Relationship Id="rId3" Type="http://schemas.openxmlformats.org/officeDocument/2006/relationships/numbering" Target="numbering.xml"/><Relationship Id="rId12" Type="http://schemas.openxmlformats.org/officeDocument/2006/relationships/hyperlink" Target="https://doi.org/10.1007/s11426-021-1180-6" TargetMode="External"/><Relationship Id="rId17" Type="http://schemas.openxmlformats.org/officeDocument/2006/relationships/hyperlink" Target="https://doi.org/10.1002/adma.202105483" TargetMode="External"/><Relationship Id="rId25" Type="http://schemas.openxmlformats.org/officeDocument/2006/relationships/hyperlink" Target="https://doi.org/10.1038/s41467-024-46022-3" TargetMode="External"/><Relationship Id="rId33" Type="http://schemas.openxmlformats.org/officeDocument/2006/relationships/hyperlink" Target="https://doi.org/10.1002/anie.202318756" TargetMode="External"/><Relationship Id="rId38" Type="http://schemas.openxmlformats.org/officeDocument/2006/relationships/hyperlink" Target="https://doi.org/10.1016/j.joule.2021.06.020" TargetMode="External"/><Relationship Id="rId46" Type="http://schemas.openxmlformats.org/officeDocument/2006/relationships/hyperlink" Target="https://doi.org/10.1002/adma.202310362" TargetMode="External"/><Relationship Id="rId59" Type="http://schemas.openxmlformats.org/officeDocument/2006/relationships/hyperlink" Target="https://doi.org/10.1002/adfm.202301866" TargetMode="External"/><Relationship Id="rId67" Type="http://schemas.openxmlformats.org/officeDocument/2006/relationships/theme" Target="theme/theme1.xml"/><Relationship Id="rId20" Type="http://schemas.openxmlformats.org/officeDocument/2006/relationships/hyperlink" Target="https://doi.org/10.1039/D0EE00714E" TargetMode="External"/><Relationship Id="rId41" Type="http://schemas.openxmlformats.org/officeDocument/2006/relationships/hyperlink" Target="https://doi.org/10.1021/jacs.7b00566" TargetMode="External"/><Relationship Id="rId54" Type="http://schemas.openxmlformats.org/officeDocument/2006/relationships/hyperlink" Target="https://doi.org/10.1039/D1TC05550J" TargetMode="External"/><Relationship Id="rId62" Type="http://schemas.openxmlformats.org/officeDocument/2006/relationships/hyperlink" Target="https://doi.org/10.1039/D2EE01327D"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039/D2EE00977C" TargetMode="External"/><Relationship Id="rId23" Type="http://schemas.openxmlformats.org/officeDocument/2006/relationships/hyperlink" Target="https://doi.org/10.1002/anie.202407007" TargetMode="External"/><Relationship Id="rId28" Type="http://schemas.openxmlformats.org/officeDocument/2006/relationships/hyperlink" Target="https://doi.org/10.1039/D4EE00605D" TargetMode="External"/><Relationship Id="rId36" Type="http://schemas.openxmlformats.org/officeDocument/2006/relationships/hyperlink" Target="https://doi.org/10.1002/anie.202216340" TargetMode="External"/><Relationship Id="rId49" Type="http://schemas.openxmlformats.org/officeDocument/2006/relationships/hyperlink" Target="https://doi.org/10.1016/j.cej.2022.134987" TargetMode="External"/><Relationship Id="rId57" Type="http://schemas.openxmlformats.org/officeDocument/2006/relationships/hyperlink" Target="https://doi.org/10.1007/s40820-025-01715-2" TargetMode="External"/><Relationship Id="rId10" Type="http://schemas.openxmlformats.org/officeDocument/2006/relationships/hyperlink" Target="mailto:luhao@qdu.edu.cn" TargetMode="External"/><Relationship Id="rId31" Type="http://schemas.openxmlformats.org/officeDocument/2006/relationships/hyperlink" Target="https://doi.org/10.1002/adma.202300363" TargetMode="External"/><Relationship Id="rId44" Type="http://schemas.openxmlformats.org/officeDocument/2006/relationships/hyperlink" Target="https://doi.org/10.1007/s11426-020-9868-8" TargetMode="External"/><Relationship Id="rId52" Type="http://schemas.openxmlformats.org/officeDocument/2006/relationships/hyperlink" Target="https://doi.org/10.1002/anie.202214931" TargetMode="External"/><Relationship Id="rId60" Type="http://schemas.openxmlformats.org/officeDocument/2006/relationships/hyperlink" Target="https://doi.org/10.1038/s41467-023-40806-9" TargetMode="External"/><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uyh@qdu.edu.cn" TargetMode="External"/><Relationship Id="rId13" Type="http://schemas.openxmlformats.org/officeDocument/2006/relationships/hyperlink" Target="https://doi.org/10.1021/acsenergylett.2c01364" TargetMode="External"/><Relationship Id="rId18" Type="http://schemas.openxmlformats.org/officeDocument/2006/relationships/hyperlink" Target="https://doi.org/10.1002/aenm.202104028" TargetMode="External"/><Relationship Id="rId39" Type="http://schemas.openxmlformats.org/officeDocument/2006/relationships/hyperlink" Target="https://doi.org/10.1002/adma.2024005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54870104-2B47-4F86-95D5-06A67EC391CD}">
  <ds:schemaRefs>
    <ds:schemaRef ds:uri="http://schemas.openxmlformats.org/officeDocument/2006/bibliography"/>
  </ds:schemaRefs>
</ds:datastoreItem>
</file>

<file path=customXml/itemProps2.xml><?xml version="1.0" encoding="utf-8"?>
<ds:datastoreItem xmlns:ds="http://schemas.openxmlformats.org/officeDocument/2006/customXml" ds:itemID="{E3F19EBF-8207-4BE7-AD18-240ED1895C11}">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140</TotalTime>
  <Pages>23</Pages>
  <Words>7932</Words>
  <Characters>41883</Characters>
  <Application>Microsoft Office Word</Application>
  <DocSecurity>0</DocSecurity>
  <Lines>1610</Lines>
  <Paragraphs>1158</Paragraphs>
  <ScaleCrop>false</ScaleCrop>
  <Company>WILEY-VCH Verlag GmbH &amp; Co. KGaA</Company>
  <LinksUpToDate>false</LinksUpToDate>
  <CharactersWithSpaces>48657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ABoeer</dc:creator>
  <cp:lastModifiedBy>rong he</cp:lastModifiedBy>
  <cp:revision>9</cp:revision>
  <cp:lastPrinted>2010-04-21T09:22:00Z</cp:lastPrinted>
  <dcterms:created xsi:type="dcterms:W3CDTF">2025-08-06T05:03:00Z</dcterms:created>
  <dcterms:modified xsi:type="dcterms:W3CDTF">2025-08-06T08:33:00Z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2C2C2DC446934D4CBA6A00C7F61B9CF2</vt:lpwstr>
  </property>
</Properties>
</file>