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3326F" w14:textId="3B72A6D7" w:rsidR="00547197" w:rsidRPr="007E1950" w:rsidRDefault="00BC39A3" w:rsidP="00277ACF">
      <w:pPr>
        <w:pStyle w:val="Title2"/>
        <w:spacing w:before="120" w:after="120"/>
        <w:rPr>
          <w:b w:val="0"/>
          <w:bCs/>
          <w:color w:val="000000" w:themeColor="text1"/>
          <w:sz w:val="28"/>
          <w:szCs w:val="28"/>
        </w:rPr>
      </w:pPr>
      <w:bookmarkStart w:id="0" w:name="_GoBack"/>
      <w:bookmarkEnd w:id="0"/>
      <w:r w:rsidRPr="007E1950">
        <w:rPr>
          <w:b w:val="0"/>
          <w:bCs/>
          <w:color w:val="000000" w:themeColor="text1"/>
          <w:szCs w:val="28"/>
        </w:rPr>
        <w:t xml:space="preserve">Supporting Information </w:t>
      </w:r>
      <w:r w:rsidR="007E1950">
        <w:rPr>
          <w:b w:val="0"/>
          <w:bCs/>
          <w:color w:val="000000" w:themeColor="text1"/>
          <w:szCs w:val="28"/>
        </w:rPr>
        <w:t>for</w:t>
      </w:r>
    </w:p>
    <w:p w14:paraId="0CA4DB78" w14:textId="77777777" w:rsidR="003F70CB" w:rsidRPr="00BD587E" w:rsidRDefault="003F70CB" w:rsidP="00277ACF">
      <w:pPr>
        <w:pStyle w:val="AuthorsFull"/>
        <w:spacing w:before="120" w:after="120"/>
        <w:rPr>
          <w:b/>
          <w:bCs/>
          <w:i w:val="0"/>
          <w:sz w:val="28"/>
        </w:rPr>
      </w:pPr>
      <w:r w:rsidRPr="00BD587E">
        <w:rPr>
          <w:b/>
          <w:bCs/>
          <w:i w:val="0"/>
          <w:sz w:val="28"/>
        </w:rPr>
        <w:t>Confining Li⁺ Solvation in Core-Shell Metal-Organic Frameworks for Stable Lithium Metal Batteries at 100 °C</w:t>
      </w:r>
    </w:p>
    <w:p w14:paraId="2B84377A" w14:textId="00A974FE" w:rsidR="003F70CB" w:rsidRPr="00BD587E" w:rsidRDefault="003F70CB" w:rsidP="00277ACF">
      <w:pPr>
        <w:pStyle w:val="AuthorsFull"/>
        <w:spacing w:before="120" w:after="120"/>
        <w:rPr>
          <w:bCs/>
          <w:i w:val="0"/>
          <w:lang w:val="de-DE"/>
        </w:rPr>
      </w:pPr>
      <w:r w:rsidRPr="00BD587E">
        <w:rPr>
          <w:bCs/>
          <w:i w:val="0"/>
        </w:rPr>
        <w:t>Minh</w:t>
      </w:r>
      <w:r w:rsidRPr="00BD587E">
        <w:rPr>
          <w:bCs/>
          <w:i w:val="0"/>
          <w:lang w:val="vi-VN"/>
        </w:rPr>
        <w:t xml:space="preserve"> Hai Nguyen</w:t>
      </w:r>
      <w:r w:rsidRPr="00BD587E">
        <w:rPr>
          <w:bCs/>
          <w:i w:val="0"/>
          <w:vertAlign w:val="superscript"/>
          <w:lang w:val="de-DE"/>
        </w:rPr>
        <w:t>1</w:t>
      </w:r>
      <w:r w:rsidRPr="00BD587E">
        <w:rPr>
          <w:bCs/>
          <w:i w:val="0"/>
          <w:lang w:val="de-DE"/>
        </w:rPr>
        <w:t>, Jeongmin Shin</w:t>
      </w:r>
      <w:r w:rsidRPr="00BD587E">
        <w:rPr>
          <w:bCs/>
          <w:i w:val="0"/>
          <w:vertAlign w:val="superscript"/>
          <w:lang w:val="de-DE"/>
        </w:rPr>
        <w:t>2</w:t>
      </w:r>
      <w:r w:rsidRPr="00BD587E">
        <w:rPr>
          <w:bCs/>
          <w:i w:val="0"/>
          <w:lang w:val="de-DE"/>
        </w:rPr>
        <w:t>, Mee-Ree Kim</w:t>
      </w:r>
      <w:r w:rsidRPr="00BD587E">
        <w:rPr>
          <w:bCs/>
          <w:i w:val="0"/>
          <w:vertAlign w:val="superscript"/>
          <w:lang w:val="de-DE"/>
        </w:rPr>
        <w:t>1</w:t>
      </w:r>
      <w:r w:rsidRPr="00BD587E">
        <w:rPr>
          <w:bCs/>
          <w:i w:val="0"/>
          <w:lang w:val="de-DE"/>
        </w:rPr>
        <w:t>, Quan</w:t>
      </w:r>
      <w:r w:rsidR="00F0261F">
        <w:rPr>
          <w:bCs/>
          <w:i w:val="0"/>
          <w:lang w:val="vi-VN"/>
        </w:rPr>
        <w:t xml:space="preserve"> Van</w:t>
      </w:r>
      <w:r w:rsidRPr="00BD587E">
        <w:rPr>
          <w:bCs/>
          <w:i w:val="0"/>
          <w:lang w:val="de-DE"/>
        </w:rPr>
        <w:t xml:space="preserve"> Nguyen</w:t>
      </w:r>
      <w:r w:rsidRPr="00BD587E">
        <w:rPr>
          <w:bCs/>
          <w:i w:val="0"/>
          <w:vertAlign w:val="superscript"/>
          <w:lang w:val="de-DE"/>
        </w:rPr>
        <w:t>1</w:t>
      </w:r>
      <w:r w:rsidRPr="00BD587E">
        <w:rPr>
          <w:bCs/>
          <w:i w:val="0"/>
          <w:lang w:val="de-DE"/>
        </w:rPr>
        <w:t>, JinHyeok Cha</w:t>
      </w:r>
      <w:r w:rsidRPr="00BD587E">
        <w:rPr>
          <w:bCs/>
          <w:i w:val="0"/>
          <w:vertAlign w:val="superscript"/>
          <w:lang w:val="de-DE"/>
        </w:rPr>
        <w:t>2,</w:t>
      </w:r>
      <w:r w:rsidRPr="00BD587E">
        <w:rPr>
          <w:bCs/>
          <w:i w:val="0"/>
          <w:lang w:val="de-DE"/>
        </w:rPr>
        <w:t>*, and Sangbaek Park</w:t>
      </w:r>
      <w:r w:rsidRPr="00BD587E">
        <w:rPr>
          <w:bCs/>
          <w:i w:val="0"/>
          <w:vertAlign w:val="superscript"/>
          <w:lang w:val="de-DE"/>
        </w:rPr>
        <w:t>1,</w:t>
      </w:r>
      <w:r w:rsidRPr="00BD587E">
        <w:rPr>
          <w:bCs/>
          <w:i w:val="0"/>
          <w:lang w:val="de-DE"/>
        </w:rPr>
        <w:t>*</w:t>
      </w:r>
    </w:p>
    <w:p w14:paraId="0A511598" w14:textId="77777777" w:rsidR="003F70CB" w:rsidRPr="00BD587E" w:rsidRDefault="003F70CB" w:rsidP="00277ACF">
      <w:pPr>
        <w:spacing w:before="120" w:after="120"/>
        <w:rPr>
          <w:rFonts w:eastAsia="Malgun Gothic"/>
          <w:kern w:val="24"/>
          <w:lang w:val="vi-VN"/>
        </w:rPr>
      </w:pPr>
      <w:r w:rsidRPr="00BD587E">
        <w:rPr>
          <w:vertAlign w:val="superscript"/>
        </w:rPr>
        <w:t>1</w:t>
      </w:r>
      <w:r w:rsidRPr="00BD587E">
        <w:rPr>
          <w:rFonts w:eastAsia="Malgun Gothic"/>
          <w:kern w:val="24"/>
        </w:rPr>
        <w:t>Department of Materials Science and Engineering, Chungnam National University, Daejeon 34134, Republic of Korea</w:t>
      </w:r>
    </w:p>
    <w:p w14:paraId="63B62CA0" w14:textId="77777777" w:rsidR="003F70CB" w:rsidRPr="00BD587E" w:rsidRDefault="003F70CB" w:rsidP="00277ACF">
      <w:pPr>
        <w:spacing w:before="120" w:after="120"/>
        <w:rPr>
          <w:rFonts w:eastAsia="Malgun Gothic"/>
          <w:kern w:val="24"/>
        </w:rPr>
      </w:pPr>
      <w:r w:rsidRPr="00BD587E">
        <w:rPr>
          <w:rFonts w:eastAsia="Malgun Gothic"/>
          <w:kern w:val="24"/>
          <w:vertAlign w:val="superscript"/>
          <w:lang w:val="vi-VN"/>
        </w:rPr>
        <w:t>2</w:t>
      </w:r>
      <w:r w:rsidRPr="00BD587E">
        <w:rPr>
          <w:rFonts w:eastAsia="Malgun Gothic"/>
          <w:kern w:val="24"/>
          <w:lang w:val="vi-VN"/>
        </w:rPr>
        <w:t>School of Mechanical Engineering</w:t>
      </w:r>
      <w:r w:rsidRPr="00BD587E">
        <w:rPr>
          <w:rFonts w:eastAsia="Malgun Gothic"/>
          <w:kern w:val="24"/>
        </w:rPr>
        <w:t>, Chonnam National University, Gwangju 61186, Republic of Korea</w:t>
      </w:r>
    </w:p>
    <w:p w14:paraId="5EDAF01B" w14:textId="77777777" w:rsidR="003F70CB" w:rsidRPr="00BD587E" w:rsidRDefault="003F70CB" w:rsidP="00277ACF">
      <w:pPr>
        <w:spacing w:before="120" w:after="120"/>
        <w:rPr>
          <w:bCs/>
          <w:lang w:val="vi-VN"/>
        </w:rPr>
      </w:pPr>
      <w:r w:rsidRPr="00BD587E">
        <w:rPr>
          <w:bCs/>
        </w:rPr>
        <w:t>* Corresponding author</w:t>
      </w:r>
      <w:r>
        <w:rPr>
          <w:bCs/>
        </w:rPr>
        <w:t>s</w:t>
      </w:r>
      <w:r w:rsidRPr="00BD587E">
        <w:rPr>
          <w:bCs/>
        </w:rPr>
        <w:t xml:space="preserve">. E-mail: </w:t>
      </w:r>
      <w:hyperlink r:id="rId9" w:history="1">
        <w:r w:rsidRPr="003B7F8D">
          <w:rPr>
            <w:rStyle w:val="Hyperlink"/>
            <w:bCs/>
          </w:rPr>
          <w:t>sb.park@cnu.ac.kr</w:t>
        </w:r>
      </w:hyperlink>
      <w:r>
        <w:rPr>
          <w:bCs/>
        </w:rPr>
        <w:t xml:space="preserve"> (</w:t>
      </w:r>
      <w:r w:rsidRPr="00BD587E">
        <w:rPr>
          <w:bCs/>
        </w:rPr>
        <w:t>Sangbaek Park</w:t>
      </w:r>
      <w:r>
        <w:rPr>
          <w:bCs/>
        </w:rPr>
        <w:t>)</w:t>
      </w:r>
      <w:r w:rsidRPr="00BD587E">
        <w:rPr>
          <w:bCs/>
          <w:lang w:val="vi-VN"/>
        </w:rPr>
        <w:t xml:space="preserve">; </w:t>
      </w:r>
      <w:hyperlink r:id="rId10" w:history="1">
        <w:r w:rsidRPr="003B7F8D">
          <w:rPr>
            <w:rStyle w:val="Hyperlink"/>
            <w:bCs/>
            <w:lang w:val="vi-VN"/>
          </w:rPr>
          <w:t>jinhyeok.cha@chonnam.ac.kr</w:t>
        </w:r>
      </w:hyperlink>
      <w:r>
        <w:rPr>
          <w:bCs/>
          <w:lang w:val="vi-VN"/>
        </w:rPr>
        <w:t xml:space="preserve"> (</w:t>
      </w:r>
      <w:r w:rsidRPr="00BD587E">
        <w:rPr>
          <w:bCs/>
        </w:rPr>
        <w:t>JinHyeok Cha</w:t>
      </w:r>
      <w:r>
        <w:rPr>
          <w:bCs/>
        </w:rPr>
        <w:t>)</w:t>
      </w:r>
    </w:p>
    <w:p w14:paraId="2BD01D65" w14:textId="25456AF1" w:rsidR="00547197" w:rsidRPr="003F70CB" w:rsidRDefault="003F70CB" w:rsidP="00295CE1">
      <w:pPr>
        <w:pStyle w:val="Title2"/>
        <w:spacing w:before="240" w:after="240"/>
        <w:rPr>
          <w:rFonts w:eastAsiaTheme="minorEastAsia"/>
          <w:color w:val="000000" w:themeColor="text1"/>
          <w:lang w:eastAsia="zh-CN"/>
        </w:rPr>
      </w:pPr>
      <w:r w:rsidRPr="003F70CB">
        <w:rPr>
          <w:rFonts w:eastAsiaTheme="minorEastAsia" w:hint="eastAsia"/>
          <w:color w:val="000000" w:themeColor="text1"/>
          <w:sz w:val="28"/>
          <w:lang w:eastAsia="zh-CN"/>
        </w:rPr>
        <w:t>S</w:t>
      </w:r>
      <w:r w:rsidRPr="003F70CB">
        <w:rPr>
          <w:rFonts w:eastAsiaTheme="minorEastAsia"/>
          <w:color w:val="000000" w:themeColor="text1"/>
          <w:sz w:val="28"/>
          <w:lang w:eastAsia="zh-CN"/>
        </w:rPr>
        <w:t>upplementary Figures and Tables</w:t>
      </w:r>
    </w:p>
    <w:p w14:paraId="617E03D1" w14:textId="77777777" w:rsidR="00547197" w:rsidRDefault="00797771" w:rsidP="00277ACF">
      <w:pPr>
        <w:spacing w:before="120" w:after="120"/>
        <w:rPr>
          <w:rFonts w:eastAsia="Times New Roman"/>
        </w:rPr>
      </w:pPr>
      <w:bookmarkStart w:id="1" w:name="_Hlk195258616"/>
      <w:bookmarkEnd w:id="1"/>
      <w:r w:rsidRPr="004D4A74">
        <w:rPr>
          <w:rFonts w:eastAsia="Times New Roman"/>
          <w:noProof/>
          <w:lang w:val="en-IN" w:eastAsia="en-IN"/>
        </w:rPr>
        <w:drawing>
          <wp:inline distT="0" distB="0" distL="0" distR="0" wp14:anchorId="30E5AA20" wp14:editId="75BC5DF2">
            <wp:extent cx="5943600" cy="24263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426335"/>
                    </a:xfrm>
                    <a:prstGeom prst="rect">
                      <a:avLst/>
                    </a:prstGeom>
                    <a:noFill/>
                    <a:ln>
                      <a:noFill/>
                    </a:ln>
                  </pic:spPr>
                </pic:pic>
              </a:graphicData>
            </a:graphic>
          </wp:inline>
        </w:drawing>
      </w:r>
    </w:p>
    <w:p w14:paraId="5655F18E" w14:textId="551F1920" w:rsidR="00547197" w:rsidRDefault="00277ACF" w:rsidP="00277ACF">
      <w:pPr>
        <w:spacing w:before="120" w:after="120"/>
        <w:rPr>
          <w:b/>
          <w:bCs/>
        </w:rPr>
      </w:pPr>
      <w:r>
        <w:rPr>
          <w:b/>
          <w:bCs/>
        </w:rPr>
        <w:t>Fig. S</w:t>
      </w:r>
      <w:r w:rsidR="00797771" w:rsidRPr="004D4A74">
        <w:rPr>
          <w:b/>
          <w:bCs/>
        </w:rPr>
        <w:t>1</w:t>
      </w:r>
      <w:r w:rsidR="00797771" w:rsidRPr="004D4A74">
        <w:rPr>
          <w:b/>
          <w:bCs/>
          <w:lang w:val="vi-VN"/>
        </w:rPr>
        <w:t xml:space="preserve"> </w:t>
      </w:r>
      <w:r w:rsidR="00797771" w:rsidRPr="004D4A74">
        <w:rPr>
          <w:lang w:val="vi-VN"/>
        </w:rPr>
        <w:t>Comparison between MOF thin-film-based QSSE (previous study)</w:t>
      </w:r>
      <w:r w:rsidR="00924CFD" w:rsidRPr="004D4A74">
        <w:rPr>
          <w:lang w:val="vi-VN"/>
        </w:rPr>
        <w:t xml:space="preserve"> </w:t>
      </w:r>
      <w:sdt>
        <w:sdtPr>
          <w:rPr>
            <w:color w:val="000000"/>
            <w:lang w:val="vi-VN"/>
          </w:rPr>
          <w:tag w:val="MENDELEY_CITATION_v3_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"/>
          <w:id w:val="4797817"/>
          <w:placeholder>
            <w:docPart w:val="BE28B70EC12F4932AAC33F96D2733ED2"/>
          </w:placeholder>
        </w:sdtPr>
        <w:sdtEndPr/>
        <w:sdtContent>
          <w:r w:rsidR="00924CFD" w:rsidRPr="004D4A74">
            <w:rPr>
              <w:color w:val="000000"/>
              <w:lang w:val="vi-VN"/>
            </w:rPr>
            <w:t>[</w:t>
          </w:r>
          <w:r>
            <w:rPr>
              <w:color w:val="000000"/>
              <w:lang w:val="vi-VN"/>
            </w:rPr>
            <w:t>S</w:t>
          </w:r>
          <w:r w:rsidR="00924CFD" w:rsidRPr="004D4A74">
            <w:rPr>
              <w:color w:val="000000"/>
              <w:lang w:val="vi-VN"/>
            </w:rPr>
            <w:t>1]</w:t>
          </w:r>
        </w:sdtContent>
      </w:sdt>
      <w:r w:rsidR="00797771" w:rsidRPr="004D4A74">
        <w:rPr>
          <w:lang w:val="vi-VN"/>
        </w:rPr>
        <w:t xml:space="preserve"> an</w:t>
      </w:r>
      <w:r>
        <w:rPr>
          <w:lang w:val="vi-VN"/>
        </w:rPr>
        <w:t>d 1D MOF-based QSSE (this work)</w:t>
      </w:r>
    </w:p>
    <w:p w14:paraId="16E3CE54" w14:textId="1BD5EA8A" w:rsidR="00547197" w:rsidRDefault="00277ACF" w:rsidP="005F2BEF">
      <w:pPr>
        <w:spacing w:before="240" w:after="240"/>
        <w:jc w:val="both"/>
        <w:rPr>
          <w:b/>
          <w:bCs/>
          <w:lang w:val="vi-VN"/>
        </w:rPr>
      </w:pPr>
      <w:r w:rsidRPr="00277ACF">
        <w:rPr>
          <w:b/>
          <w:bCs/>
        </w:rPr>
        <w:t>Note S</w:t>
      </w:r>
      <w:r w:rsidR="00797771" w:rsidRPr="004D4A74">
        <w:rPr>
          <w:b/>
          <w:bCs/>
        </w:rPr>
        <w:t>1 Fabrication of various MOFs grown on GHF</w:t>
      </w:r>
    </w:p>
    <w:p w14:paraId="66412326" w14:textId="559677C5" w:rsidR="00547197" w:rsidRDefault="00797771" w:rsidP="005F2BEF">
      <w:pPr>
        <w:spacing w:before="120" w:after="120"/>
        <w:jc w:val="both"/>
        <w:rPr>
          <w:b/>
          <w:bCs/>
        </w:rPr>
      </w:pPr>
      <w:r w:rsidRPr="004D4A74">
        <w:t xml:space="preserve">To eliminate structural and morphological variations that could influence our results, different morphologies of ZIF-8 and HKUST-1 were synthesized on a glass-based hybrid fiber (GHF) substrate. </w:t>
      </w:r>
      <w:r w:rsidRPr="004D4A74">
        <w:rPr>
          <w:rFonts w:eastAsia="Times New Roman"/>
        </w:rPr>
        <w:t>The surface of commercial glass fiber (GF) is relatively inert</w:t>
      </w:r>
      <w:r w:rsidR="00924CFD" w:rsidRPr="004D4A74">
        <w:rPr>
          <w:rFonts w:eastAsia="Times New Roman"/>
          <w:lang w:val="vi-VN"/>
        </w:rPr>
        <w:t xml:space="preserve"> </w:t>
      </w:r>
      <w:sdt>
        <w:sdtPr>
          <w:rPr>
            <w:rFonts w:eastAsia="Times New Roman"/>
            <w:color w:val="000000"/>
          </w:rPr>
          <w:tag w:val="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"/>
          <w:id w:val="-597939026"/>
          <w:placeholder>
            <w:docPart w:val="BE28B70EC12F4932AAC33F96D2733ED2"/>
          </w:placeholder>
        </w:sdtPr>
        <w:sdtEndPr/>
        <w:sdtContent>
          <w:r w:rsidR="00924CFD" w:rsidRPr="004D4A74">
            <w:rPr>
              <w:rFonts w:eastAsia="Times New Roman"/>
              <w:color w:val="000000"/>
            </w:rPr>
            <w:t>[</w:t>
          </w:r>
          <w:r w:rsidR="005F2BEF">
            <w:rPr>
              <w:rFonts w:eastAsia="Times New Roman"/>
              <w:color w:val="000000"/>
            </w:rPr>
            <w:t>S</w:t>
          </w:r>
          <w:r w:rsidR="00924CFD" w:rsidRPr="004D4A74">
            <w:rPr>
              <w:rFonts w:eastAsia="Times New Roman"/>
              <w:color w:val="000000"/>
            </w:rPr>
            <w:t>2–</w:t>
          </w:r>
          <w:r w:rsidR="005F2BEF">
            <w:rPr>
              <w:rFonts w:eastAsia="Times New Roman"/>
              <w:color w:val="000000"/>
            </w:rPr>
            <w:t>S</w:t>
          </w:r>
          <w:r w:rsidR="00924CFD" w:rsidRPr="004D4A74">
            <w:rPr>
              <w:rFonts w:eastAsia="Times New Roman"/>
              <w:color w:val="000000"/>
            </w:rPr>
            <w:t>4]</w:t>
          </w:r>
        </w:sdtContent>
      </w:sdt>
      <w:r w:rsidRPr="004D4A74">
        <w:rPr>
          <w:rFonts w:eastAsia="Times New Roman"/>
        </w:rPr>
        <w:t>, making it unsuitable for the nucleation and growth of metal-organic frameworks (MOFs). As observed in a control synthesis of rhombic dodecahedral ZIF-8 (RDZ) and on commercial GF</w:t>
      </w:r>
      <w:r w:rsidRPr="004D4A74">
        <w:rPr>
          <w:rFonts w:eastAsia="Times New Roman"/>
          <w:lang w:val="vi-VN"/>
        </w:rPr>
        <w:t xml:space="preserve">, </w:t>
      </w:r>
      <w:r w:rsidRPr="004D4A74">
        <w:rPr>
          <w:rFonts w:eastAsia="Times New Roman"/>
        </w:rPr>
        <w:t>under the same conditions as those used for modified fibers</w:t>
      </w:r>
      <w:r w:rsidRPr="004D4A74">
        <w:rPr>
          <w:rFonts w:eastAsia="Times New Roman"/>
          <w:lang w:val="vi-VN"/>
        </w:rPr>
        <w:t xml:space="preserve">, </w:t>
      </w:r>
      <w:r w:rsidRPr="004D4A74">
        <w:rPr>
          <w:rFonts w:eastAsia="Times New Roman"/>
        </w:rPr>
        <w:t xml:space="preserve">the surface remained largely smooth, with only a few sparsely distributed MOF crystallites (Figs. </w:t>
      </w:r>
      <w:r w:rsidR="007E1950">
        <w:rPr>
          <w:rFonts w:eastAsia="Times New Roman"/>
        </w:rPr>
        <w:t>S</w:t>
      </w:r>
      <w:r w:rsidRPr="004D4A74">
        <w:rPr>
          <w:rFonts w:eastAsia="Times New Roman"/>
        </w:rPr>
        <w:t>2a</w:t>
      </w:r>
      <w:r w:rsidRPr="004D4A74">
        <w:rPr>
          <w:rFonts w:eastAsia="Times New Roman"/>
          <w:lang w:val="vi-VN"/>
        </w:rPr>
        <w:t>-c</w:t>
      </w:r>
      <w:r w:rsidRPr="004D4A74">
        <w:rPr>
          <w:rFonts w:eastAsia="Times New Roman"/>
        </w:rPr>
        <w:t>). This limited growth can be attributed to the lack of functional groups on the inert GF surface. To overcome this, we engineered a glass-based hybrid fiber (GHF) by integrating bovine serum albumin (BSA) with commercial GF, using (3-aminopropyl) triethoxysilane (APTES) and glutaraldehyde (GA) as coupling agents. Biological fibers are well known for being rich in functional groups such as amines and carboxylates</w:t>
      </w:r>
      <w:r w:rsidR="00924CFD" w:rsidRPr="004D4A74">
        <w:rPr>
          <w:rFonts w:eastAsia="Times New Roman"/>
          <w:lang w:val="vi-VN"/>
        </w:rPr>
        <w:t xml:space="preserve"> </w:t>
      </w:r>
      <w:sdt>
        <w:sdtPr>
          <w:rPr>
            <w:rFonts w:eastAsia="Times New Roman"/>
            <w:color w:val="000000"/>
          </w:rPr>
          <w:tag w:val="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"/>
          <w:id w:val="1315527688"/>
          <w:placeholder>
            <w:docPart w:val="BE28B70EC12F4932AAC33F96D2733ED2"/>
          </w:placeholder>
        </w:sdtPr>
        <w:sdtEndPr/>
        <w:sdtContent>
          <w:r w:rsidR="00924CFD" w:rsidRPr="004D4A74">
            <w:rPr>
              <w:rFonts w:eastAsia="Times New Roman"/>
              <w:color w:val="000000"/>
            </w:rPr>
            <w:t>[</w:t>
          </w:r>
          <w:r w:rsidR="005F2BEF">
            <w:rPr>
              <w:rFonts w:eastAsia="Times New Roman"/>
              <w:color w:val="000000"/>
            </w:rPr>
            <w:t>S</w:t>
          </w:r>
          <w:r w:rsidR="00924CFD" w:rsidRPr="004D4A74">
            <w:rPr>
              <w:rFonts w:eastAsia="Times New Roman"/>
              <w:color w:val="000000"/>
            </w:rPr>
            <w:t>5–</w:t>
          </w:r>
          <w:r w:rsidR="005F2BEF">
            <w:rPr>
              <w:rFonts w:eastAsia="Times New Roman"/>
              <w:color w:val="000000"/>
            </w:rPr>
            <w:t>S</w:t>
          </w:r>
          <w:r w:rsidR="00924CFD" w:rsidRPr="004D4A74">
            <w:rPr>
              <w:rFonts w:eastAsia="Times New Roman"/>
              <w:color w:val="000000"/>
            </w:rPr>
            <w:t>7]</w:t>
          </w:r>
        </w:sdtContent>
      </w:sdt>
      <w:r w:rsidRPr="004D4A74">
        <w:rPr>
          <w:rFonts w:eastAsia="Times New Roman"/>
        </w:rPr>
        <w:t>, which can facilitate the nucleation and growth of nanomaterials. Among these, BSA is a particularly promising candidate due to its abundance of –NH₂, –COOH, and –OH groups</w:t>
      </w:r>
      <w:r w:rsidR="00924CFD" w:rsidRPr="004D4A74">
        <w:rPr>
          <w:rFonts w:eastAsia="Times New Roman"/>
          <w:lang w:val="vi-VN"/>
        </w:rPr>
        <w:t xml:space="preserve"> </w:t>
      </w:r>
      <w:sdt>
        <w:sdtPr>
          <w:rPr>
            <w:rFonts w:eastAsia="Times New Roman"/>
            <w:color w:val="000000"/>
          </w:rPr>
          <w:tag w:val="MENDELEY_CITATION_v3_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"/>
          <w:id w:val="-987247786"/>
          <w:placeholder>
            <w:docPart w:val="BE28B70EC12F4932AAC33F96D2733ED2"/>
          </w:placeholder>
        </w:sdtPr>
        <w:sdtEndPr/>
        <w:sdtContent>
          <w:r w:rsidR="00924CFD" w:rsidRPr="004D4A74">
            <w:rPr>
              <w:rFonts w:eastAsia="Times New Roman"/>
              <w:color w:val="000000"/>
            </w:rPr>
            <w:t>[</w:t>
          </w:r>
          <w:r w:rsidR="005F2BEF">
            <w:rPr>
              <w:rFonts w:eastAsia="Times New Roman"/>
              <w:color w:val="000000"/>
            </w:rPr>
            <w:t>S</w:t>
          </w:r>
          <w:r w:rsidR="00924CFD" w:rsidRPr="004D4A74">
            <w:rPr>
              <w:rFonts w:eastAsia="Times New Roman"/>
              <w:color w:val="000000"/>
            </w:rPr>
            <w:t>8]</w:t>
          </w:r>
        </w:sdtContent>
      </w:sdt>
      <w:r w:rsidRPr="004D4A74">
        <w:rPr>
          <w:rFonts w:eastAsia="Times New Roman"/>
        </w:rPr>
        <w:t>, which strongly coordinate with metal ions and promote uniform MOF crystallization. Unlike other biological materials such as silk, gelatin, or collagen, BSA offers high water solubility and low cost</w:t>
      </w:r>
      <w:r w:rsidR="00924CFD" w:rsidRPr="004D4A74">
        <w:rPr>
          <w:rFonts w:eastAsia="Times New Roman"/>
          <w:lang w:val="vi-VN"/>
        </w:rPr>
        <w:t xml:space="preserve"> </w:t>
      </w:r>
      <w:sdt>
        <w:sdtPr>
          <w:rPr>
            <w:rFonts w:eastAsia="Times New Roman"/>
            <w:color w:val="000000"/>
          </w:rPr>
          <w:tag w:val="MENDELEY_CITATION_v3_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"/>
          <w:id w:val="2083555704"/>
          <w:placeholder>
            <w:docPart w:val="BE28B70EC12F4932AAC33F96D2733ED2"/>
          </w:placeholder>
        </w:sdtPr>
        <w:sdtEndPr/>
        <w:sdtContent>
          <w:r w:rsidR="00924CFD" w:rsidRPr="004D4A74">
            <w:rPr>
              <w:rFonts w:eastAsia="Times New Roman"/>
              <w:color w:val="000000"/>
            </w:rPr>
            <w:t>[</w:t>
          </w:r>
          <w:r w:rsidR="007E1950">
            <w:rPr>
              <w:rFonts w:eastAsia="Times New Roman"/>
              <w:color w:val="000000"/>
            </w:rPr>
            <w:t>S</w:t>
          </w:r>
          <w:r w:rsidR="00924CFD" w:rsidRPr="004D4A74">
            <w:rPr>
              <w:rFonts w:eastAsia="Times New Roman"/>
              <w:color w:val="000000"/>
            </w:rPr>
            <w:t>9–</w:t>
          </w:r>
          <w:r w:rsidR="007E1950">
            <w:rPr>
              <w:rFonts w:eastAsia="Times New Roman"/>
              <w:color w:val="000000"/>
            </w:rPr>
            <w:t>S</w:t>
          </w:r>
          <w:r w:rsidR="00924CFD" w:rsidRPr="004D4A74">
            <w:rPr>
              <w:rFonts w:eastAsia="Times New Roman"/>
              <w:color w:val="000000"/>
            </w:rPr>
            <w:t>11]</w:t>
          </w:r>
        </w:sdtContent>
      </w:sdt>
      <w:r w:rsidRPr="004D4A74">
        <w:rPr>
          <w:rFonts w:eastAsia="Times New Roman"/>
        </w:rPr>
        <w:t>, making it an ideal modifier for scalable and controllable surface functionalization of GF to improve MOF adhesion and structural stability.</w:t>
      </w:r>
      <w:r w:rsidRPr="004D4A74">
        <w:rPr>
          <w:rFonts w:eastAsia="Times New Roman"/>
          <w:lang w:val="vi-VN"/>
        </w:rPr>
        <w:t xml:space="preserve"> </w:t>
      </w:r>
      <w:r w:rsidRPr="004D4A74">
        <w:rPr>
          <w:rFonts w:eastAsia="Times New Roman"/>
        </w:rPr>
        <w:t xml:space="preserve">The resulting GHF surfaces, enriched with functional groups, significantly enhanced MOF growth with nearly complete surface coverage (Figs. </w:t>
      </w:r>
      <w:r w:rsidR="007E1950">
        <w:rPr>
          <w:rFonts w:eastAsia="Times New Roman"/>
        </w:rPr>
        <w:t>S</w:t>
      </w:r>
      <w:r w:rsidRPr="004D4A74">
        <w:rPr>
          <w:rFonts w:eastAsia="Times New Roman"/>
        </w:rPr>
        <w:t>2d-i). By tuning the precursor concentrations, we were able to selectively control the morphology of both ZIF-8 and HKUST-1 on GHF. Specifically, rhombic dodecahedral ZIF-8 (RDZ),</w:t>
      </w:r>
      <w:r w:rsidRPr="004D4A74">
        <w:t xml:space="preserve"> </w:t>
      </w:r>
      <w:r w:rsidRPr="004D4A74">
        <w:rPr>
          <w:rFonts w:eastAsia="Times New Roman"/>
        </w:rPr>
        <w:t xml:space="preserve">sheet-flower-like ZIF-8 (SFZ), and leaf-like ZIF-8 (LZ) were obtained at salt-to-linker molar ratios of 1/77, 1/15, and 1/10, respectively. Similarly, nanoflower HKUST-1 (NFH), truncated octahedral HKUST-1 (TOH), and cubic HKUST-1 (CH) were synthesized at salt/linker/additive molar ratios of 1.8/1/50, 1.8/1/100, and 1.8/1/150, respectively. </w:t>
      </w:r>
    </w:p>
    <w:p w14:paraId="331170FB" w14:textId="77777777" w:rsidR="00547197" w:rsidRDefault="00797771" w:rsidP="005F2BEF">
      <w:pPr>
        <w:spacing w:before="120" w:after="120"/>
        <w:jc w:val="center"/>
        <w:rPr>
          <w:b/>
          <w:bCs/>
        </w:rPr>
      </w:pPr>
      <w:r w:rsidRPr="004D4A74">
        <w:rPr>
          <w:noProof/>
          <w:lang w:val="en-IN" w:eastAsia="en-IN"/>
        </w:rPr>
        <w:drawing>
          <wp:inline distT="0" distB="0" distL="0" distR="0" wp14:anchorId="566D0253" wp14:editId="61075A1F">
            <wp:extent cx="4861732" cy="34161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66257" cy="3419377"/>
                    </a:xfrm>
                    <a:prstGeom prst="rect">
                      <a:avLst/>
                    </a:prstGeom>
                    <a:noFill/>
                    <a:ln>
                      <a:noFill/>
                    </a:ln>
                  </pic:spPr>
                </pic:pic>
              </a:graphicData>
            </a:graphic>
          </wp:inline>
        </w:drawing>
      </w:r>
    </w:p>
    <w:p w14:paraId="7E3AD337" w14:textId="011D00AC" w:rsidR="00547197" w:rsidRDefault="005F2BEF" w:rsidP="00277ACF">
      <w:pPr>
        <w:spacing w:before="120" w:after="120"/>
        <w:jc w:val="both"/>
      </w:pPr>
      <w:r>
        <w:rPr>
          <w:b/>
          <w:bCs/>
        </w:rPr>
        <w:t>Fig. S</w:t>
      </w:r>
      <w:r w:rsidR="00797771" w:rsidRPr="004D4A74">
        <w:rPr>
          <w:b/>
          <w:bCs/>
        </w:rPr>
        <w:t xml:space="preserve">2 a, </w:t>
      </w:r>
      <w:r w:rsidR="00797771" w:rsidRPr="004D4A74">
        <w:t xml:space="preserve">Schematic illustration of MOFs on the </w:t>
      </w:r>
      <w:r w:rsidR="00797771" w:rsidRPr="004D4A74">
        <w:rPr>
          <w:rFonts w:eastAsia="Times New Roman"/>
        </w:rPr>
        <w:t>inert</w:t>
      </w:r>
      <w:r w:rsidR="00797771" w:rsidRPr="004D4A74">
        <w:t xml:space="preserve"> </w:t>
      </w:r>
      <w:r w:rsidR="00797771" w:rsidRPr="004D4A74">
        <w:rPr>
          <w:rFonts w:eastAsia="Times New Roman"/>
        </w:rPr>
        <w:t xml:space="preserve">surface of commercial glass fiber (GF). </w:t>
      </w:r>
      <w:r w:rsidR="00797771" w:rsidRPr="004D4A74">
        <w:rPr>
          <w:b/>
          <w:bCs/>
        </w:rPr>
        <w:t xml:space="preserve">b,c, </w:t>
      </w:r>
      <w:r w:rsidR="00797771" w:rsidRPr="004D4A74">
        <w:t>SEM image</w:t>
      </w:r>
      <w:r w:rsidR="00797771" w:rsidRPr="004D4A74">
        <w:rPr>
          <w:lang w:val="vi-VN"/>
        </w:rPr>
        <w:t xml:space="preserve"> of bare GF membrane after MOF growth process</w:t>
      </w:r>
      <w:r w:rsidR="00797771" w:rsidRPr="004D4A74">
        <w:t>.</w:t>
      </w:r>
      <w:r w:rsidR="00797771" w:rsidRPr="004D4A74">
        <w:rPr>
          <w:b/>
          <w:bCs/>
        </w:rPr>
        <w:t xml:space="preserve"> d</w:t>
      </w:r>
      <w:r w:rsidR="00797771" w:rsidRPr="004D4A74">
        <w:rPr>
          <w:b/>
          <w:bCs/>
          <w:lang w:val="vi-VN"/>
        </w:rPr>
        <w:t>-</w:t>
      </w:r>
      <w:r w:rsidR="00797771" w:rsidRPr="004D4A74">
        <w:rPr>
          <w:b/>
          <w:bCs/>
        </w:rPr>
        <w:t>f</w:t>
      </w:r>
      <w:r w:rsidR="00797771" w:rsidRPr="004D4A74">
        <w:rPr>
          <w:lang w:val="vi-VN"/>
        </w:rPr>
        <w:t>,</w:t>
      </w:r>
      <w:r w:rsidR="00797771" w:rsidRPr="004D4A74">
        <w:rPr>
          <w:b/>
          <w:bCs/>
          <w:lang w:val="vi-VN"/>
        </w:rPr>
        <w:t xml:space="preserve"> </w:t>
      </w:r>
      <w:r w:rsidR="00797771" w:rsidRPr="004D4A74">
        <w:t>Schematic illustrations and SEM images of as-synthesized ZIF</w:t>
      </w:r>
      <w:r w:rsidR="00797771" w:rsidRPr="004D4A74">
        <w:rPr>
          <w:lang w:val="vi-VN"/>
        </w:rPr>
        <w:t xml:space="preserve">-8 </w:t>
      </w:r>
      <w:r w:rsidR="00797771" w:rsidRPr="004D4A74">
        <w:t>particles</w:t>
      </w:r>
      <w:r w:rsidR="00797771" w:rsidRPr="004D4A74">
        <w:rPr>
          <w:lang w:val="vi-VN"/>
        </w:rPr>
        <w:t xml:space="preserve"> grown on</w:t>
      </w:r>
      <w:r w:rsidR="00797771" w:rsidRPr="004D4A74">
        <w:t xml:space="preserve"> the</w:t>
      </w:r>
      <w:r w:rsidR="00797771" w:rsidRPr="004D4A74">
        <w:rPr>
          <w:rFonts w:eastAsia="Times New Roman"/>
        </w:rPr>
        <w:t xml:space="preserve"> glass-based hybrid fiber (GHF) </w:t>
      </w:r>
      <w:r w:rsidR="00797771" w:rsidRPr="004D4A74">
        <w:t>with various</w:t>
      </w:r>
      <w:r w:rsidR="00797771" w:rsidRPr="004D4A74">
        <w:rPr>
          <w:lang w:val="vi-VN"/>
        </w:rPr>
        <w:t xml:space="preserve"> </w:t>
      </w:r>
      <w:r w:rsidR="00797771" w:rsidRPr="004D4A74">
        <w:t>morphologies</w:t>
      </w:r>
      <w:r w:rsidR="00797771" w:rsidRPr="004D4A74">
        <w:rPr>
          <w:lang w:val="vi-VN"/>
        </w:rPr>
        <w:t xml:space="preserve">: </w:t>
      </w:r>
      <w:r w:rsidR="00797771" w:rsidRPr="004D4A74">
        <w:rPr>
          <w:rFonts w:eastAsia="Times New Roman"/>
        </w:rPr>
        <w:t>Rhombic dodecahedral ZIF-8 (RDZ) (</w:t>
      </w:r>
      <w:r w:rsidR="00797771" w:rsidRPr="004D4A74">
        <w:rPr>
          <w:rFonts w:eastAsia="Times New Roman"/>
          <w:b/>
          <w:bCs/>
        </w:rPr>
        <w:t>d</w:t>
      </w:r>
      <w:r w:rsidR="00797771" w:rsidRPr="004D4A74">
        <w:rPr>
          <w:rFonts w:eastAsia="Times New Roman"/>
        </w:rPr>
        <w:t xml:space="preserve">), </w:t>
      </w:r>
      <w:r w:rsidR="00797771" w:rsidRPr="004D4A74">
        <w:t>Sheet-flower-like ZIF-8 (SFZ</w:t>
      </w:r>
      <w:r w:rsidR="00797771" w:rsidRPr="004D4A74">
        <w:rPr>
          <w:lang w:val="vi-VN"/>
        </w:rPr>
        <w:t>) (</w:t>
      </w:r>
      <w:r w:rsidR="00797771" w:rsidRPr="004D4A74">
        <w:rPr>
          <w:b/>
          <w:bCs/>
        </w:rPr>
        <w:t>e</w:t>
      </w:r>
      <w:r w:rsidR="00797771" w:rsidRPr="004D4A74">
        <w:t>) and Leaf-like ZIF-8 (LZ)</w:t>
      </w:r>
      <w:r w:rsidR="00797771" w:rsidRPr="004D4A74">
        <w:rPr>
          <w:lang w:val="vi-VN"/>
        </w:rPr>
        <w:t xml:space="preserve"> (</w:t>
      </w:r>
      <w:r w:rsidR="00797771" w:rsidRPr="004D4A74">
        <w:rPr>
          <w:b/>
          <w:bCs/>
        </w:rPr>
        <w:t>f</w:t>
      </w:r>
      <w:r w:rsidR="00797771" w:rsidRPr="004D4A74">
        <w:rPr>
          <w:lang w:val="vi-VN"/>
        </w:rPr>
        <w:t>).</w:t>
      </w:r>
      <w:r w:rsidR="00797771" w:rsidRPr="004D4A74">
        <w:t xml:space="preserve"> </w:t>
      </w:r>
      <w:r w:rsidR="00797771" w:rsidRPr="004D4A74">
        <w:rPr>
          <w:b/>
          <w:bCs/>
        </w:rPr>
        <w:t>g</w:t>
      </w:r>
      <w:r w:rsidR="00797771" w:rsidRPr="004D4A74">
        <w:rPr>
          <w:b/>
          <w:bCs/>
          <w:lang w:val="vi-VN"/>
        </w:rPr>
        <w:t>-i</w:t>
      </w:r>
      <w:r w:rsidR="00797771" w:rsidRPr="004D4A74">
        <w:rPr>
          <w:lang w:val="vi-VN"/>
        </w:rPr>
        <w:t>,</w:t>
      </w:r>
      <w:r w:rsidR="00797771" w:rsidRPr="004D4A74">
        <w:rPr>
          <w:b/>
          <w:bCs/>
          <w:lang w:val="vi-VN"/>
        </w:rPr>
        <w:t xml:space="preserve"> </w:t>
      </w:r>
      <w:r w:rsidR="00797771" w:rsidRPr="004D4A74">
        <w:t>Schematic illustrations and SEM images of as-synthesized HKUST-1</w:t>
      </w:r>
      <w:r w:rsidR="00797771" w:rsidRPr="004D4A74">
        <w:rPr>
          <w:lang w:val="vi-VN"/>
        </w:rPr>
        <w:t xml:space="preserve"> </w:t>
      </w:r>
      <w:r w:rsidR="00797771" w:rsidRPr="004D4A74">
        <w:t>particles</w:t>
      </w:r>
      <w:r w:rsidR="00797771" w:rsidRPr="004D4A74">
        <w:rPr>
          <w:lang w:val="vi-VN"/>
        </w:rPr>
        <w:t xml:space="preserve"> grown on</w:t>
      </w:r>
      <w:r w:rsidR="00797771" w:rsidRPr="004D4A74">
        <w:t xml:space="preserve"> </w:t>
      </w:r>
      <w:r w:rsidR="00797771" w:rsidRPr="004D4A74">
        <w:rPr>
          <w:rFonts w:eastAsia="Times New Roman"/>
        </w:rPr>
        <w:t xml:space="preserve">GHF </w:t>
      </w:r>
      <w:r w:rsidR="00797771" w:rsidRPr="004D4A74">
        <w:t>with various</w:t>
      </w:r>
      <w:r w:rsidR="00797771" w:rsidRPr="004D4A74">
        <w:rPr>
          <w:lang w:val="vi-VN"/>
        </w:rPr>
        <w:t xml:space="preserve"> </w:t>
      </w:r>
      <w:r w:rsidR="00797771" w:rsidRPr="004D4A74">
        <w:t>morphologies</w:t>
      </w:r>
      <w:r w:rsidR="00797771" w:rsidRPr="004D4A74">
        <w:rPr>
          <w:lang w:val="vi-VN"/>
        </w:rPr>
        <w:t xml:space="preserve">: </w:t>
      </w:r>
      <w:r w:rsidR="00797771" w:rsidRPr="004D4A74">
        <w:t>Nanoflower HKUST-1 (NFH) (</w:t>
      </w:r>
      <w:r w:rsidR="00797771" w:rsidRPr="004D4A74">
        <w:rPr>
          <w:b/>
          <w:bCs/>
        </w:rPr>
        <w:t>g</w:t>
      </w:r>
      <w:r w:rsidR="00797771" w:rsidRPr="004D4A74">
        <w:t>), Truncated octahedral HKUST-1 (TOH) (</w:t>
      </w:r>
      <w:r w:rsidR="00797771" w:rsidRPr="004D4A74">
        <w:rPr>
          <w:b/>
          <w:bCs/>
        </w:rPr>
        <w:t>h</w:t>
      </w:r>
      <w:r w:rsidR="00797771" w:rsidRPr="004D4A74">
        <w:t xml:space="preserve">), and Cube HKUST-1 (CH) </w:t>
      </w:r>
      <w:r w:rsidR="00797771" w:rsidRPr="004D4A74">
        <w:rPr>
          <w:lang w:val="vi-VN"/>
        </w:rPr>
        <w:t>(</w:t>
      </w:r>
      <w:r w:rsidR="00797771" w:rsidRPr="004D4A74">
        <w:rPr>
          <w:b/>
          <w:bCs/>
        </w:rPr>
        <w:t>i</w:t>
      </w:r>
      <w:r>
        <w:rPr>
          <w:lang w:val="vi-VN"/>
        </w:rPr>
        <w:t>)</w:t>
      </w:r>
    </w:p>
    <w:p w14:paraId="10E782F6" w14:textId="7EAD85EA" w:rsidR="00547197" w:rsidRPr="005F2BEF" w:rsidRDefault="00277ACF" w:rsidP="005F2BEF">
      <w:pPr>
        <w:spacing w:before="240" w:after="240"/>
        <w:jc w:val="both"/>
        <w:rPr>
          <w:b/>
          <w:bCs/>
        </w:rPr>
      </w:pPr>
      <w:r w:rsidRPr="00277ACF">
        <w:rPr>
          <w:b/>
          <w:bCs/>
          <w:lang w:val="vi-VN"/>
        </w:rPr>
        <w:t>Note S</w:t>
      </w:r>
      <w:r w:rsidR="00797771" w:rsidRPr="004D4A74">
        <w:rPr>
          <w:b/>
          <w:bCs/>
          <w:lang w:val="vi-VN"/>
        </w:rPr>
        <w:t xml:space="preserve">2 </w:t>
      </w:r>
      <w:r w:rsidR="00797771" w:rsidRPr="004D4A74">
        <w:rPr>
          <w:b/>
          <w:bCs/>
        </w:rPr>
        <w:t>Structural and electrochemical analysis of various MOFs on GHF</w:t>
      </w:r>
    </w:p>
    <w:p w14:paraId="20B6A818" w14:textId="59BD002A" w:rsidR="00547197" w:rsidRDefault="00797771" w:rsidP="00277ACF">
      <w:pPr>
        <w:spacing w:before="120" w:after="120"/>
        <w:jc w:val="both"/>
        <w:rPr>
          <w:rFonts w:eastAsia="Times New Roman"/>
        </w:rPr>
      </w:pPr>
      <w:bookmarkStart w:id="2" w:name="_Hlk196678726"/>
      <w:r w:rsidRPr="004D4A74">
        <w:t>Structural and electrochemical stability analyses</w:t>
      </w:r>
      <w:bookmarkEnd w:id="2"/>
      <w:r w:rsidRPr="004D4A74">
        <w:t xml:space="preserve"> confirmed that RDZ and TOH were the most suitable representatives of ZIF-8 and HKUST-1, respectively, for our MOF-based QSSEs (</w:t>
      </w:r>
      <w:r w:rsidR="005F2BEF" w:rsidRPr="005F2BEF">
        <w:t>Fig. S</w:t>
      </w:r>
      <w:r w:rsidRPr="004D4A74">
        <w:t xml:space="preserve">3). </w:t>
      </w:r>
      <w:r w:rsidRPr="004D4A74">
        <w:rPr>
          <w:rFonts w:eastAsia="Times New Roman"/>
        </w:rPr>
        <w:t>X-ray diffraction (XRD) analysis of various ZIF-8-based MOFs grown on GHF confirmed their highly crystalline nature. Among them, the GHF@RDZ sample exhibited good agreement with the standard diffraction peaks of ZIF-8, while other ZIF-8-derived structures showed notable deviations (</w:t>
      </w:r>
      <w:r w:rsidR="00277ACF" w:rsidRPr="005F2BEF">
        <w:rPr>
          <w:rFonts w:eastAsia="Times New Roman"/>
        </w:rPr>
        <w:t>Fig. S</w:t>
      </w:r>
      <w:r w:rsidRPr="005F2BEF">
        <w:rPr>
          <w:rFonts w:eastAsia="Times New Roman"/>
        </w:rPr>
        <w:t>3a</w:t>
      </w:r>
      <w:r w:rsidRPr="004D4A74">
        <w:rPr>
          <w:rFonts w:eastAsia="Times New Roman"/>
        </w:rPr>
        <w:t>). In particular, GHF@RDZ demonstrated a significantly more intense peak at a low 2θ angle compared to the other morphologies, indicating enhanced structural order. In contrast to the ZIF-8-based samples, all HKUST-1-derived MOFs displayed relatively consistent diffraction patterns that matched well with standard HKUST-1 peaks (</w:t>
      </w:r>
      <w:r w:rsidR="00277ACF" w:rsidRPr="007E1950">
        <w:rPr>
          <w:rFonts w:eastAsia="Times New Roman"/>
        </w:rPr>
        <w:t>Fig. S</w:t>
      </w:r>
      <w:r w:rsidRPr="004D4A74">
        <w:rPr>
          <w:rFonts w:eastAsia="Times New Roman"/>
        </w:rPr>
        <w:t>3b). Nonetheless, the (111) reflection at the lowest 2θ value was most intense for the GHF@TOH sample, suggesting a high degree of orientation or pore alignment.</w:t>
      </w:r>
      <w:r w:rsidRPr="004D4A74">
        <w:rPr>
          <w:rFonts w:eastAsia="Times New Roman"/>
          <w:lang w:val="vi-VN"/>
        </w:rPr>
        <w:t xml:space="preserve"> </w:t>
      </w:r>
      <w:r w:rsidRPr="004D4A74">
        <w:rPr>
          <w:rFonts w:eastAsia="Times New Roman"/>
        </w:rPr>
        <w:t xml:space="preserve">The prominent low-angle XRD peaks in both GHF@RDZ and GHF@TOH suggest a higher pore density and better pore accessibility compared to the other structures, making them strong candidates for quasi-solid-state electrolytes (QSSEs) with enhanced liquid electrolyte (LE) uptake. </w:t>
      </w:r>
    </w:p>
    <w:p w14:paraId="3D213B45" w14:textId="77777777" w:rsidR="005F2BEF" w:rsidRDefault="00797771" w:rsidP="00277ACF">
      <w:pPr>
        <w:spacing w:before="120" w:after="120"/>
        <w:jc w:val="both"/>
        <w:rPr>
          <w:rFonts w:eastAsia="Times New Roman"/>
        </w:rPr>
      </w:pPr>
      <w:r w:rsidRPr="004D4A74">
        <w:rPr>
          <w:rFonts w:eastAsia="Times New Roman"/>
        </w:rPr>
        <w:t>Electrochemical stability evaluations further revealed that QSSEs based on GHF@MOFs exhibited wider electrochemical windows than conventional glass fiber (GF) with standard LE (1M LiTFSI in PC), particularly for GHF@RDZ and GHF@TOH systems (</w:t>
      </w:r>
      <w:r w:rsidR="00277ACF" w:rsidRPr="007E1950">
        <w:rPr>
          <w:rFonts w:eastAsia="Times New Roman"/>
        </w:rPr>
        <w:t>Fig. S</w:t>
      </w:r>
      <w:r w:rsidRPr="007E1950">
        <w:rPr>
          <w:rFonts w:eastAsia="Times New Roman"/>
          <w:lang w:val="vi-VN"/>
        </w:rPr>
        <w:t>3c</w:t>
      </w:r>
      <w:r w:rsidRPr="004D4A74">
        <w:rPr>
          <w:rFonts w:eastAsia="Times New Roman"/>
          <w:lang w:val="vi-VN"/>
        </w:rPr>
        <w:t>-d</w:t>
      </w:r>
      <w:r w:rsidRPr="004D4A74">
        <w:rPr>
          <w:rFonts w:eastAsia="Times New Roman"/>
        </w:rPr>
        <w:t>). This improvement can be attributed to the strong anion-trapping ability of RDZ and TOH morphologies, especially for bulky anions like TFSI⁻, which possess high HOMO energy levels (approximately –6.0 to –7 eV vs. vacuum)</w:t>
      </w:r>
      <w:r w:rsidR="00924CFD" w:rsidRPr="004D4A74">
        <w:rPr>
          <w:rFonts w:eastAsia="Times New Roman"/>
          <w:lang w:val="vi-VN"/>
        </w:rPr>
        <w:t xml:space="preserve"> </w:t>
      </w:r>
      <w:sdt>
        <w:sdtPr>
          <w:rPr>
            <w:rFonts w:eastAsia="Times New Roman"/>
            <w:color w:val="000000"/>
          </w:rPr>
          <w:tag w:val="MENDELEY_CITATION_v3_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"/>
          <w:id w:val="241769808"/>
          <w:placeholder>
            <w:docPart w:val="BE28B70EC12F4932AAC33F96D2733ED2"/>
          </w:placeholder>
        </w:sdtPr>
        <w:sdtEndPr/>
        <w:sdtContent>
          <w:r w:rsidR="00924CFD" w:rsidRPr="004D4A74">
            <w:rPr>
              <w:rFonts w:eastAsia="Times New Roman"/>
              <w:color w:val="000000"/>
            </w:rPr>
            <w:t>[</w:t>
          </w:r>
          <w:r w:rsidR="005F2BEF">
            <w:rPr>
              <w:rFonts w:eastAsia="Times New Roman"/>
              <w:color w:val="000000"/>
            </w:rPr>
            <w:t>S</w:t>
          </w:r>
          <w:r w:rsidR="00924CFD" w:rsidRPr="004D4A74">
            <w:rPr>
              <w:rFonts w:eastAsia="Times New Roman"/>
              <w:color w:val="000000"/>
            </w:rPr>
            <w:t>12,</w:t>
          </w:r>
          <w:r w:rsidR="005F2BEF">
            <w:rPr>
              <w:rFonts w:eastAsia="Times New Roman"/>
              <w:color w:val="000000"/>
            </w:rPr>
            <w:t xml:space="preserve"> S</w:t>
          </w:r>
          <w:r w:rsidR="00924CFD" w:rsidRPr="004D4A74">
            <w:rPr>
              <w:rFonts w:eastAsia="Times New Roman"/>
              <w:color w:val="000000"/>
            </w:rPr>
            <w:t>13]</w:t>
          </w:r>
        </w:sdtContent>
      </w:sdt>
      <w:r w:rsidRPr="004D4A74">
        <w:rPr>
          <w:rFonts w:eastAsia="Times New Roman"/>
        </w:rPr>
        <w:t xml:space="preserve"> and are prone to oxidation at elevated voltages.</w:t>
      </w:r>
      <w:r w:rsidRPr="004D4A74">
        <w:rPr>
          <w:rFonts w:eastAsia="Times New Roman"/>
          <w:lang w:val="vi-VN"/>
        </w:rPr>
        <w:t xml:space="preserve"> </w:t>
      </w:r>
      <w:r w:rsidRPr="004D4A74">
        <w:rPr>
          <w:rFonts w:eastAsia="Times New Roman"/>
        </w:rPr>
        <w:t>Moreover, these MOFs feature spatial confinement, abundant open metal sites, and polar functional groups that can engage in electrostatic or coordination interactions with the anions and solvents of the confined LE. Such interactions draw electron density away from the molecular orbitals, lowering the HOMO level and thereby reducing the susceptibility of the system to oxidative degradation. This leads to improved oxidative stability and an expanded operational voltage window of the resulting QSSEs. In contrast, conventional LE systems, where TFSI⁻ and solvent molecules (e.g., PC) remain uncoordinated, retain high HOMO levels and are more vulnerable to oxidation at high voltages.</w:t>
      </w:r>
      <w:r w:rsidRPr="004D4A74">
        <w:rPr>
          <w:rFonts w:eastAsia="Times New Roman"/>
          <w:lang w:val="vi-VN"/>
        </w:rPr>
        <w:t xml:space="preserve"> </w:t>
      </w:r>
      <w:r w:rsidRPr="004D4A74">
        <w:rPr>
          <w:rFonts w:eastAsia="Times New Roman"/>
        </w:rPr>
        <w:t>Based on these findings, we selected RDZ and TOH as representative MOF structures for ZIF-8 and HKUST-1, respectively, for further in-depth investigation of lithium-ion solvation structures, Li⁺ transport kinetics, and the development of core-shell MOF structures on GHF.</w:t>
      </w:r>
    </w:p>
    <w:p w14:paraId="418D415B" w14:textId="5DDB3230" w:rsidR="00547197" w:rsidRDefault="00797771" w:rsidP="005F2BEF">
      <w:pPr>
        <w:spacing w:before="120" w:after="120"/>
        <w:jc w:val="center"/>
      </w:pPr>
      <w:r w:rsidRPr="004D4A74">
        <w:rPr>
          <w:noProof/>
          <w:lang w:val="en-IN" w:eastAsia="en-IN"/>
        </w:rPr>
        <w:drawing>
          <wp:inline distT="0" distB="0" distL="0" distR="0" wp14:anchorId="0BEC4F0C" wp14:editId="17A7A6E4">
            <wp:extent cx="4979263" cy="4572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879"/>
                    <a:stretch/>
                  </pic:blipFill>
                  <pic:spPr bwMode="auto">
                    <a:xfrm>
                      <a:off x="0" y="0"/>
                      <a:ext cx="4989602" cy="4581494"/>
                    </a:xfrm>
                    <a:prstGeom prst="rect">
                      <a:avLst/>
                    </a:prstGeom>
                    <a:noFill/>
                    <a:ln>
                      <a:noFill/>
                    </a:ln>
                    <a:extLst>
                      <a:ext uri="{53640926-AAD7-44D8-BBD7-CCE9431645EC}">
                        <a14:shadowObscured xmlns:a14="http://schemas.microsoft.com/office/drawing/2010/main"/>
                      </a:ext>
                    </a:extLst>
                  </pic:spPr>
                </pic:pic>
              </a:graphicData>
            </a:graphic>
          </wp:inline>
        </w:drawing>
      </w:r>
    </w:p>
    <w:p w14:paraId="21076AA5" w14:textId="5827B37C" w:rsidR="00547197" w:rsidRDefault="005F2BEF" w:rsidP="00277ACF">
      <w:pPr>
        <w:spacing w:before="120" w:after="120"/>
        <w:jc w:val="both"/>
        <w:rPr>
          <w:b/>
          <w:bCs/>
          <w:lang w:val="vi-VN"/>
        </w:rPr>
      </w:pPr>
      <w:r>
        <w:rPr>
          <w:b/>
          <w:bCs/>
        </w:rPr>
        <w:t>Fig. S</w:t>
      </w:r>
      <w:r w:rsidR="00797771" w:rsidRPr="004D4A74">
        <w:rPr>
          <w:b/>
          <w:bCs/>
        </w:rPr>
        <w:t>3 a,</w:t>
      </w:r>
      <w:r>
        <w:rPr>
          <w:b/>
          <w:bCs/>
        </w:rPr>
        <w:t xml:space="preserve"> </w:t>
      </w:r>
      <w:r w:rsidR="00797771" w:rsidRPr="004D4A74">
        <w:rPr>
          <w:b/>
          <w:bCs/>
        </w:rPr>
        <w:t xml:space="preserve">b, </w:t>
      </w:r>
      <w:r w:rsidR="00797771" w:rsidRPr="004D4A74">
        <w:t>XRD patterns of different</w:t>
      </w:r>
      <w:r w:rsidR="00797771" w:rsidRPr="004D4A74">
        <w:rPr>
          <w:lang w:val="vi-VN"/>
        </w:rPr>
        <w:t xml:space="preserve"> GHF@ZIF-8</w:t>
      </w:r>
      <w:r w:rsidR="00797771" w:rsidRPr="004D4A74">
        <w:t xml:space="preserve"> (</w:t>
      </w:r>
      <w:r w:rsidR="00797771" w:rsidRPr="004D4A74">
        <w:rPr>
          <w:b/>
          <w:bCs/>
        </w:rPr>
        <w:t>a</w:t>
      </w:r>
      <w:r w:rsidR="00797771" w:rsidRPr="004D4A74">
        <w:t xml:space="preserve">) and </w:t>
      </w:r>
      <w:r w:rsidR="00797771" w:rsidRPr="004D4A74">
        <w:rPr>
          <w:lang w:val="vi-VN"/>
        </w:rPr>
        <w:t>GHF@</w:t>
      </w:r>
      <w:r w:rsidR="00797771" w:rsidRPr="004D4A74">
        <w:t>HKUST-1</w:t>
      </w:r>
      <w:r w:rsidR="00797771" w:rsidRPr="004D4A74">
        <w:rPr>
          <w:lang w:val="vi-VN"/>
        </w:rPr>
        <w:t xml:space="preserve"> </w:t>
      </w:r>
      <w:r w:rsidR="00797771" w:rsidRPr="004D4A74">
        <w:t>(</w:t>
      </w:r>
      <w:r w:rsidR="00797771" w:rsidRPr="004D4A74">
        <w:rPr>
          <w:b/>
          <w:bCs/>
        </w:rPr>
        <w:t>b</w:t>
      </w:r>
      <w:r w:rsidR="00797771" w:rsidRPr="004D4A74">
        <w:t>)</w:t>
      </w:r>
      <w:r w:rsidR="00797771" w:rsidRPr="004D4A74">
        <w:rPr>
          <w:lang w:val="vi-VN"/>
        </w:rPr>
        <w:t xml:space="preserve"> membranes. </w:t>
      </w:r>
      <w:r w:rsidR="00797771" w:rsidRPr="004D4A74">
        <w:rPr>
          <w:b/>
          <w:bCs/>
        </w:rPr>
        <w:t xml:space="preserve">c,d, </w:t>
      </w:r>
      <w:r w:rsidR="00797771" w:rsidRPr="004D4A74">
        <w:t>Linear sweep voltammetry (LSV) curves of</w:t>
      </w:r>
      <w:r w:rsidR="00797771" w:rsidRPr="004D4A74">
        <w:rPr>
          <w:lang w:val="vi-VN"/>
        </w:rPr>
        <w:t xml:space="preserve"> various GHF@ZIF-8 </w:t>
      </w:r>
      <w:r w:rsidR="00797771" w:rsidRPr="004D4A74">
        <w:t>(</w:t>
      </w:r>
      <w:r w:rsidR="00797771" w:rsidRPr="004D4A74">
        <w:rPr>
          <w:b/>
          <w:bCs/>
        </w:rPr>
        <w:t>c</w:t>
      </w:r>
      <w:r w:rsidR="00797771" w:rsidRPr="004D4A74">
        <w:t xml:space="preserve">) and </w:t>
      </w:r>
      <w:r w:rsidR="00797771" w:rsidRPr="004D4A74">
        <w:rPr>
          <w:lang w:val="vi-VN"/>
        </w:rPr>
        <w:t>GHF@</w:t>
      </w:r>
      <w:r w:rsidR="00797771" w:rsidRPr="004D4A74">
        <w:t>HKUST-1 (</w:t>
      </w:r>
      <w:r w:rsidR="00797771" w:rsidRPr="004D4A74">
        <w:rPr>
          <w:b/>
          <w:bCs/>
        </w:rPr>
        <w:t>d</w:t>
      </w:r>
      <w:r w:rsidR="00797771" w:rsidRPr="004D4A74">
        <w:t xml:space="preserve">) </w:t>
      </w:r>
      <w:r w:rsidR="00797771" w:rsidRPr="004D4A74">
        <w:rPr>
          <w:lang w:val="vi-VN"/>
        </w:rPr>
        <w:t xml:space="preserve">QSSEs compared to GF </w:t>
      </w:r>
      <w:r>
        <w:rPr>
          <w:lang w:val="vi-VN"/>
        </w:rPr>
        <w:t>in typical LE (1M LiTFSI in PC)</w:t>
      </w:r>
    </w:p>
    <w:p w14:paraId="7D30BFEA" w14:textId="3CC5CA06" w:rsidR="00547197" w:rsidRDefault="00277ACF" w:rsidP="005F2BEF">
      <w:pPr>
        <w:spacing w:before="120" w:after="240"/>
        <w:jc w:val="both"/>
        <w:rPr>
          <w:b/>
          <w:bCs/>
          <w:lang w:val="vi-VN"/>
        </w:rPr>
      </w:pPr>
      <w:bookmarkStart w:id="3" w:name="_Hlk193144835"/>
      <w:r w:rsidRPr="00277ACF">
        <w:rPr>
          <w:b/>
          <w:bCs/>
          <w:lang w:val="vi-VN"/>
        </w:rPr>
        <w:t>Note S</w:t>
      </w:r>
      <w:r w:rsidR="00BF0D77" w:rsidRPr="004D4A74">
        <w:rPr>
          <w:b/>
          <w:bCs/>
          <w:lang w:val="vi-VN"/>
        </w:rPr>
        <w:t>3 Infiltrated amounts of liquid electrolyte in GHF@MOFs</w:t>
      </w:r>
    </w:p>
    <w:p w14:paraId="64746EBA" w14:textId="77777777" w:rsidR="00547197" w:rsidRDefault="00BF0D77" w:rsidP="00277ACF">
      <w:pPr>
        <w:spacing w:before="120" w:after="120"/>
        <w:jc w:val="both"/>
      </w:pPr>
      <w:r w:rsidRPr="004D4A74">
        <w:t>To quantify the amount of liquid electrolyte (LE) confined within the MOF pores, we carefully analyzed the mass evolution of GHF@MOF membranes during the activation process. The pristine GHF mass was first measured, and the MOF loading was obtained from the weight increase after MOF growth. Following thermal and electrochemical activation, the membranes were thoroughly washed and dried at 60 °C for 24 h to remove any residual or externally adsorbed electrolyte. The content of Li salt inside the pores was then estimated from the weight loss above 400 °C in the TGA curves, which corresponds to LiTFSI decomposition. By subtracting the contributions of both MOF loading and Li salt from the final membrane mass, the actual amount of confined electrolyte was accurately determined. This method excludes errors arising from surface-adsorbed solvent, thereby providing a more reliable evaluation of the true electrolyte uptake in the MOF nanochannels.</w:t>
      </w:r>
    </w:p>
    <w:p w14:paraId="7014463B" w14:textId="77777777" w:rsidR="00547197" w:rsidRDefault="00BF0D77" w:rsidP="00277ACF">
      <w:pPr>
        <w:spacing w:before="120" w:after="120"/>
        <w:jc w:val="both"/>
      </w:pPr>
      <w:r w:rsidRPr="004D4A74">
        <w:t>As summarized in Supplementary Table 1, GHF@HKUST-1 exhibited a higher confined LE content (1.02 mg cm⁻²) than GHF@ZIF-8 (0.96 mg cm⁻²), consistent with the larger apertures of HKUST-1 (~0.9 nm) that can accommodate more solvated species. In contrast, the narrow pores of ZIF-8 (~0.54 nm) restricted solvent infiltration, leading to a lower confined electrolyte content. The core–shell GHF@ZIF-8@HKUST-1 achieved an intermediate value of 1.62 mg cm⁻² with a confined LE/MOF ratio of 0.1731, representing a synergistic balance: the HKUST-1 shell supplied sufficient solvent for interfacial wetting, while the ZIF-8 core ensured strong confinement and promoted desolvated Li⁺ transport. Notably, these electrolyte amounts are much smaller than that of conventional GF separators soaked in liquid electrolyte (~60 mg cm⁻²), underscoring the effectiveness of MOF nanochannels in achieving low-electrolyte-content QSSEs with enhanced thermal stability and high energy density.</w:t>
      </w:r>
    </w:p>
    <w:p w14:paraId="397C6375" w14:textId="33A6E0B1" w:rsidR="00797771" w:rsidRPr="004D4A74" w:rsidRDefault="00797771" w:rsidP="005F2BEF">
      <w:pPr>
        <w:spacing w:before="240" w:after="120"/>
        <w:rPr>
          <w:b/>
          <w:bCs/>
          <w:lang w:val="vi-VN"/>
        </w:rPr>
      </w:pPr>
      <w:r w:rsidRPr="004D4A74">
        <w:rPr>
          <w:b/>
          <w:bCs/>
        </w:rPr>
        <w:t>Table</w:t>
      </w:r>
      <w:r w:rsidRPr="004D4A74">
        <w:rPr>
          <w:b/>
          <w:bCs/>
          <w:lang w:val="vi-VN"/>
        </w:rPr>
        <w:t xml:space="preserve"> </w:t>
      </w:r>
      <w:r w:rsidR="005F2BEF">
        <w:rPr>
          <w:b/>
          <w:bCs/>
          <w:lang w:val="vi-VN"/>
        </w:rPr>
        <w:t>S</w:t>
      </w:r>
      <w:r w:rsidRPr="004D4A74">
        <w:rPr>
          <w:b/>
          <w:bCs/>
        </w:rPr>
        <w:t>1</w:t>
      </w:r>
      <w:r w:rsidRPr="004D4A74">
        <w:rPr>
          <w:b/>
          <w:bCs/>
          <w:lang w:val="vi-VN"/>
        </w:rPr>
        <w:t xml:space="preserve"> </w:t>
      </w:r>
      <w:r w:rsidRPr="004D4A74">
        <w:rPr>
          <w:rFonts w:eastAsia="Times New Roman"/>
          <w:iCs/>
        </w:rPr>
        <w:t>L</w:t>
      </w:r>
      <w:r w:rsidRPr="004D4A74">
        <w:rPr>
          <w:rFonts w:eastAsia="Times New Roman"/>
          <w:iCs/>
          <w:lang w:val="vi-VN"/>
        </w:rPr>
        <w:t>oading mass of liquid electrolyte (LE) in pores of different MOF-based QSSEs</w:t>
      </w:r>
    </w:p>
    <w:tbl>
      <w:tblPr>
        <w:tblW w:w="9120" w:type="dxa"/>
        <w:tblLook w:val="04A0" w:firstRow="1" w:lastRow="0" w:firstColumn="1" w:lastColumn="0" w:noHBand="0" w:noVBand="1"/>
      </w:tblPr>
      <w:tblGrid>
        <w:gridCol w:w="1666"/>
        <w:gridCol w:w="1314"/>
        <w:gridCol w:w="1215"/>
        <w:gridCol w:w="1340"/>
        <w:gridCol w:w="1240"/>
        <w:gridCol w:w="1068"/>
        <w:gridCol w:w="1277"/>
      </w:tblGrid>
      <w:tr w:rsidR="00131B9F" w:rsidRPr="005F2BEF" w14:paraId="64E91C1E" w14:textId="77777777" w:rsidTr="00131B9F">
        <w:trPr>
          <w:trHeight w:val="1280"/>
        </w:trPr>
        <w:tc>
          <w:tcPr>
            <w:tcW w:w="1666" w:type="dxa"/>
            <w:vMerge w:val="restart"/>
            <w:tcBorders>
              <w:top w:val="single" w:sz="8" w:space="0" w:color="7F7F7F"/>
              <w:left w:val="nil"/>
              <w:bottom w:val="single" w:sz="8" w:space="0" w:color="7F7F7F"/>
              <w:right w:val="nil"/>
            </w:tcBorders>
            <w:shd w:val="clear" w:color="000000" w:fill="F2F2F2"/>
            <w:vAlign w:val="center"/>
            <w:hideMark/>
          </w:tcPr>
          <w:p w14:paraId="5942D265"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Sample</w:t>
            </w:r>
          </w:p>
        </w:tc>
        <w:tc>
          <w:tcPr>
            <w:tcW w:w="1317" w:type="dxa"/>
            <w:tcBorders>
              <w:top w:val="single" w:sz="8" w:space="0" w:color="7F7F7F"/>
              <w:left w:val="nil"/>
              <w:bottom w:val="nil"/>
              <w:right w:val="nil"/>
            </w:tcBorders>
            <w:shd w:val="clear" w:color="000000" w:fill="F2F2F2"/>
            <w:vAlign w:val="center"/>
            <w:hideMark/>
          </w:tcPr>
          <w:p w14:paraId="738E476D"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Mass of pristine samples (mg cm</w:t>
            </w:r>
            <w:r w:rsidRPr="005F2BEF">
              <w:rPr>
                <w:rFonts w:eastAsia="Times New Roman"/>
                <w:b/>
                <w:bCs/>
                <w:color w:val="000000"/>
                <w:sz w:val="21"/>
                <w:szCs w:val="21"/>
                <w:vertAlign w:val="superscript"/>
              </w:rPr>
              <w:t>-2</w:t>
            </w:r>
            <w:r w:rsidRPr="005F2BEF">
              <w:rPr>
                <w:rFonts w:eastAsia="Times New Roman"/>
                <w:b/>
                <w:bCs/>
                <w:color w:val="000000"/>
                <w:sz w:val="21"/>
                <w:szCs w:val="21"/>
              </w:rPr>
              <w:t>)</w:t>
            </w:r>
          </w:p>
        </w:tc>
        <w:tc>
          <w:tcPr>
            <w:tcW w:w="1218" w:type="dxa"/>
            <w:tcBorders>
              <w:top w:val="single" w:sz="8" w:space="0" w:color="7F7F7F"/>
              <w:left w:val="nil"/>
              <w:bottom w:val="nil"/>
              <w:right w:val="nil"/>
            </w:tcBorders>
            <w:shd w:val="clear" w:color="000000" w:fill="F2F2F2"/>
            <w:vAlign w:val="center"/>
            <w:hideMark/>
          </w:tcPr>
          <w:p w14:paraId="34571F87"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Mass of loaded MOFs (mg cm</w:t>
            </w:r>
            <w:r w:rsidRPr="005F2BEF">
              <w:rPr>
                <w:rFonts w:eastAsia="Times New Roman"/>
                <w:b/>
                <w:bCs/>
                <w:color w:val="000000"/>
                <w:sz w:val="21"/>
                <w:szCs w:val="21"/>
                <w:vertAlign w:val="superscript"/>
              </w:rPr>
              <w:t>-2</w:t>
            </w:r>
            <w:r w:rsidRPr="005F2BEF">
              <w:rPr>
                <w:rFonts w:eastAsia="Times New Roman"/>
                <w:b/>
                <w:bCs/>
                <w:color w:val="000000"/>
                <w:sz w:val="21"/>
                <w:szCs w:val="21"/>
              </w:rPr>
              <w:t>)</w:t>
            </w:r>
          </w:p>
        </w:tc>
        <w:tc>
          <w:tcPr>
            <w:tcW w:w="1340" w:type="dxa"/>
            <w:tcBorders>
              <w:top w:val="single" w:sz="8" w:space="0" w:color="7F7F7F"/>
              <w:left w:val="nil"/>
              <w:bottom w:val="nil"/>
              <w:right w:val="nil"/>
            </w:tcBorders>
            <w:shd w:val="clear" w:color="000000" w:fill="F2F2F2"/>
            <w:vAlign w:val="center"/>
            <w:hideMark/>
          </w:tcPr>
          <w:p w14:paraId="0D614C7F"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Mass of MOF-based QSSEs (mg cm</w:t>
            </w:r>
            <w:r w:rsidRPr="005F2BEF">
              <w:rPr>
                <w:rFonts w:eastAsia="Times New Roman"/>
                <w:b/>
                <w:bCs/>
                <w:color w:val="000000"/>
                <w:sz w:val="21"/>
                <w:szCs w:val="21"/>
                <w:vertAlign w:val="superscript"/>
              </w:rPr>
              <w:t>-2</w:t>
            </w:r>
            <w:r w:rsidRPr="005F2BEF">
              <w:rPr>
                <w:rFonts w:eastAsia="Times New Roman"/>
                <w:b/>
                <w:bCs/>
                <w:color w:val="000000"/>
                <w:sz w:val="21"/>
                <w:szCs w:val="21"/>
              </w:rPr>
              <w:t>)</w:t>
            </w:r>
          </w:p>
        </w:tc>
        <w:tc>
          <w:tcPr>
            <w:tcW w:w="1240" w:type="dxa"/>
            <w:tcBorders>
              <w:top w:val="single" w:sz="8" w:space="0" w:color="7F7F7F"/>
              <w:left w:val="nil"/>
              <w:bottom w:val="nil"/>
              <w:right w:val="nil"/>
            </w:tcBorders>
            <w:shd w:val="clear" w:color="000000" w:fill="F2F2F2"/>
            <w:vAlign w:val="center"/>
            <w:hideMark/>
          </w:tcPr>
          <w:p w14:paraId="68C05E6E"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Weight percentage of Li salt remained in QSSEs (%)</w:t>
            </w:r>
          </w:p>
        </w:tc>
        <w:tc>
          <w:tcPr>
            <w:tcW w:w="1060" w:type="dxa"/>
            <w:tcBorders>
              <w:top w:val="single" w:sz="8" w:space="0" w:color="7F7F7F"/>
              <w:left w:val="nil"/>
              <w:bottom w:val="nil"/>
              <w:right w:val="nil"/>
            </w:tcBorders>
            <w:shd w:val="clear" w:color="000000" w:fill="F2F2F2"/>
            <w:vAlign w:val="center"/>
            <w:hideMark/>
          </w:tcPr>
          <w:p w14:paraId="36F387F0"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Mass of LE in pores (mg cm</w:t>
            </w:r>
            <w:r w:rsidRPr="005F2BEF">
              <w:rPr>
                <w:rFonts w:eastAsia="Times New Roman"/>
                <w:b/>
                <w:bCs/>
                <w:color w:val="000000"/>
                <w:sz w:val="21"/>
                <w:szCs w:val="21"/>
                <w:vertAlign w:val="superscript"/>
              </w:rPr>
              <w:t>-2</w:t>
            </w:r>
            <w:r w:rsidRPr="005F2BEF">
              <w:rPr>
                <w:rFonts w:eastAsia="Times New Roman"/>
                <w:b/>
                <w:bCs/>
                <w:color w:val="000000"/>
                <w:sz w:val="21"/>
                <w:szCs w:val="21"/>
              </w:rPr>
              <w:t>)</w:t>
            </w:r>
          </w:p>
        </w:tc>
        <w:tc>
          <w:tcPr>
            <w:tcW w:w="1279" w:type="dxa"/>
            <w:tcBorders>
              <w:top w:val="single" w:sz="8" w:space="0" w:color="7F7F7F"/>
              <w:left w:val="nil"/>
              <w:bottom w:val="nil"/>
              <w:right w:val="nil"/>
            </w:tcBorders>
            <w:shd w:val="clear" w:color="000000" w:fill="F2F2F2"/>
            <w:vAlign w:val="center"/>
            <w:hideMark/>
          </w:tcPr>
          <w:p w14:paraId="37B2E432"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 xml:space="preserve">Confined LE/MOF ratios </w:t>
            </w:r>
          </w:p>
        </w:tc>
      </w:tr>
      <w:tr w:rsidR="00131B9F" w:rsidRPr="005F2BEF" w14:paraId="3CC7CFB2" w14:textId="77777777" w:rsidTr="00131B9F">
        <w:trPr>
          <w:trHeight w:val="870"/>
        </w:trPr>
        <w:tc>
          <w:tcPr>
            <w:tcW w:w="1666" w:type="dxa"/>
            <w:vMerge/>
            <w:tcBorders>
              <w:top w:val="single" w:sz="8" w:space="0" w:color="7F7F7F"/>
              <w:left w:val="nil"/>
              <w:bottom w:val="single" w:sz="8" w:space="0" w:color="7F7F7F"/>
              <w:right w:val="nil"/>
            </w:tcBorders>
            <w:vAlign w:val="center"/>
            <w:hideMark/>
          </w:tcPr>
          <w:p w14:paraId="5DE88F73" w14:textId="77777777" w:rsidR="00131B9F" w:rsidRPr="005F2BEF" w:rsidRDefault="00131B9F" w:rsidP="005F2BEF">
            <w:pPr>
              <w:rPr>
                <w:rFonts w:eastAsia="Times New Roman"/>
                <w:b/>
                <w:bCs/>
                <w:color w:val="000000"/>
                <w:sz w:val="21"/>
                <w:szCs w:val="21"/>
              </w:rPr>
            </w:pPr>
          </w:p>
        </w:tc>
        <w:tc>
          <w:tcPr>
            <w:tcW w:w="1317" w:type="dxa"/>
            <w:tcBorders>
              <w:top w:val="nil"/>
              <w:left w:val="nil"/>
              <w:bottom w:val="single" w:sz="8" w:space="0" w:color="7F7F7F"/>
              <w:right w:val="nil"/>
            </w:tcBorders>
            <w:shd w:val="clear" w:color="000000" w:fill="F2F2F2"/>
            <w:vAlign w:val="center"/>
            <w:hideMark/>
          </w:tcPr>
          <w:p w14:paraId="3DD425D7"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(A)</w:t>
            </w:r>
          </w:p>
        </w:tc>
        <w:tc>
          <w:tcPr>
            <w:tcW w:w="1218" w:type="dxa"/>
            <w:tcBorders>
              <w:top w:val="nil"/>
              <w:left w:val="nil"/>
              <w:bottom w:val="single" w:sz="8" w:space="0" w:color="7F7F7F"/>
              <w:right w:val="nil"/>
            </w:tcBorders>
            <w:shd w:val="clear" w:color="000000" w:fill="F2F2F2"/>
            <w:vAlign w:val="center"/>
            <w:hideMark/>
          </w:tcPr>
          <w:p w14:paraId="0EBC74A3"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(B = A – A1)</w:t>
            </w:r>
          </w:p>
        </w:tc>
        <w:tc>
          <w:tcPr>
            <w:tcW w:w="1340" w:type="dxa"/>
            <w:tcBorders>
              <w:top w:val="nil"/>
              <w:left w:val="nil"/>
              <w:bottom w:val="single" w:sz="8" w:space="0" w:color="7F7F7F"/>
              <w:right w:val="nil"/>
            </w:tcBorders>
            <w:shd w:val="clear" w:color="000000" w:fill="F2F2F2"/>
            <w:vAlign w:val="center"/>
            <w:hideMark/>
          </w:tcPr>
          <w:p w14:paraId="6ED34849"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(C)</w:t>
            </w:r>
          </w:p>
        </w:tc>
        <w:tc>
          <w:tcPr>
            <w:tcW w:w="1240" w:type="dxa"/>
            <w:tcBorders>
              <w:top w:val="nil"/>
              <w:left w:val="nil"/>
              <w:bottom w:val="single" w:sz="8" w:space="0" w:color="7F7F7F"/>
              <w:right w:val="nil"/>
            </w:tcBorders>
            <w:shd w:val="clear" w:color="000000" w:fill="F2F2F2"/>
            <w:vAlign w:val="center"/>
            <w:hideMark/>
          </w:tcPr>
          <w:p w14:paraId="3A8905C4"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(D)</w:t>
            </w:r>
          </w:p>
        </w:tc>
        <w:tc>
          <w:tcPr>
            <w:tcW w:w="1060" w:type="dxa"/>
            <w:tcBorders>
              <w:top w:val="nil"/>
              <w:left w:val="nil"/>
              <w:bottom w:val="single" w:sz="8" w:space="0" w:color="7F7F7F"/>
              <w:right w:val="nil"/>
            </w:tcBorders>
            <w:shd w:val="clear" w:color="000000" w:fill="F2F2F2"/>
            <w:vAlign w:val="center"/>
            <w:hideMark/>
          </w:tcPr>
          <w:p w14:paraId="35AF03C0"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(E = C - A - C*D/100)</w:t>
            </w:r>
          </w:p>
        </w:tc>
        <w:tc>
          <w:tcPr>
            <w:tcW w:w="1279" w:type="dxa"/>
            <w:tcBorders>
              <w:top w:val="nil"/>
              <w:left w:val="nil"/>
              <w:bottom w:val="single" w:sz="8" w:space="0" w:color="7F7F7F"/>
              <w:right w:val="nil"/>
            </w:tcBorders>
            <w:shd w:val="clear" w:color="000000" w:fill="F2F2F2"/>
            <w:vAlign w:val="center"/>
            <w:hideMark/>
          </w:tcPr>
          <w:p w14:paraId="162FA489" w14:textId="77777777" w:rsidR="00131B9F" w:rsidRPr="005F2BEF" w:rsidRDefault="00131B9F" w:rsidP="005F2BEF">
            <w:pPr>
              <w:jc w:val="center"/>
              <w:rPr>
                <w:rFonts w:eastAsia="Times New Roman"/>
                <w:b/>
                <w:bCs/>
                <w:color w:val="000000"/>
                <w:sz w:val="21"/>
                <w:szCs w:val="21"/>
              </w:rPr>
            </w:pPr>
            <w:r w:rsidRPr="005F2BEF">
              <w:rPr>
                <w:rFonts w:eastAsia="Times New Roman"/>
                <w:b/>
                <w:bCs/>
                <w:color w:val="000000"/>
                <w:sz w:val="21"/>
                <w:szCs w:val="21"/>
              </w:rPr>
              <w:t>(F = E/B)</w:t>
            </w:r>
          </w:p>
        </w:tc>
      </w:tr>
      <w:tr w:rsidR="00131B9F" w:rsidRPr="005F2BEF" w14:paraId="01F1F60A" w14:textId="77777777" w:rsidTr="00131B9F">
        <w:trPr>
          <w:trHeight w:val="800"/>
        </w:trPr>
        <w:tc>
          <w:tcPr>
            <w:tcW w:w="1666" w:type="dxa"/>
            <w:tcBorders>
              <w:top w:val="nil"/>
              <w:left w:val="nil"/>
              <w:bottom w:val="nil"/>
              <w:right w:val="nil"/>
            </w:tcBorders>
            <w:shd w:val="clear" w:color="auto" w:fill="auto"/>
            <w:vAlign w:val="center"/>
            <w:hideMark/>
          </w:tcPr>
          <w:p w14:paraId="5877B4C8"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GHF</w:t>
            </w:r>
          </w:p>
        </w:tc>
        <w:tc>
          <w:tcPr>
            <w:tcW w:w="1317" w:type="dxa"/>
            <w:tcBorders>
              <w:top w:val="nil"/>
              <w:left w:val="nil"/>
              <w:bottom w:val="nil"/>
              <w:right w:val="nil"/>
            </w:tcBorders>
            <w:shd w:val="clear" w:color="auto" w:fill="auto"/>
            <w:vAlign w:val="center"/>
            <w:hideMark/>
          </w:tcPr>
          <w:p w14:paraId="035F43B0"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3.98</w:t>
            </w:r>
          </w:p>
        </w:tc>
        <w:tc>
          <w:tcPr>
            <w:tcW w:w="1218" w:type="dxa"/>
            <w:tcBorders>
              <w:top w:val="nil"/>
              <w:left w:val="nil"/>
              <w:bottom w:val="nil"/>
              <w:right w:val="nil"/>
            </w:tcBorders>
            <w:shd w:val="clear" w:color="auto" w:fill="auto"/>
            <w:vAlign w:val="center"/>
            <w:hideMark/>
          </w:tcPr>
          <w:p w14:paraId="78B4610B"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w:t>
            </w:r>
          </w:p>
        </w:tc>
        <w:tc>
          <w:tcPr>
            <w:tcW w:w="1340" w:type="dxa"/>
            <w:tcBorders>
              <w:top w:val="nil"/>
              <w:left w:val="nil"/>
              <w:bottom w:val="nil"/>
              <w:right w:val="nil"/>
            </w:tcBorders>
            <w:shd w:val="clear" w:color="auto" w:fill="auto"/>
            <w:vAlign w:val="center"/>
            <w:hideMark/>
          </w:tcPr>
          <w:p w14:paraId="3AFBE659"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w:t>
            </w:r>
          </w:p>
        </w:tc>
        <w:tc>
          <w:tcPr>
            <w:tcW w:w="1240" w:type="dxa"/>
            <w:tcBorders>
              <w:top w:val="nil"/>
              <w:left w:val="nil"/>
              <w:bottom w:val="nil"/>
              <w:right w:val="nil"/>
            </w:tcBorders>
            <w:shd w:val="clear" w:color="auto" w:fill="auto"/>
            <w:vAlign w:val="center"/>
            <w:hideMark/>
          </w:tcPr>
          <w:p w14:paraId="6CC0A7D7"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w:t>
            </w:r>
          </w:p>
        </w:tc>
        <w:tc>
          <w:tcPr>
            <w:tcW w:w="1060" w:type="dxa"/>
            <w:tcBorders>
              <w:top w:val="nil"/>
              <w:left w:val="nil"/>
              <w:bottom w:val="nil"/>
              <w:right w:val="nil"/>
            </w:tcBorders>
            <w:shd w:val="clear" w:color="auto" w:fill="auto"/>
            <w:vAlign w:val="center"/>
            <w:hideMark/>
          </w:tcPr>
          <w:p w14:paraId="35F3D632"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w:t>
            </w:r>
          </w:p>
        </w:tc>
        <w:tc>
          <w:tcPr>
            <w:tcW w:w="1279" w:type="dxa"/>
            <w:tcBorders>
              <w:top w:val="nil"/>
              <w:left w:val="nil"/>
              <w:bottom w:val="nil"/>
              <w:right w:val="nil"/>
            </w:tcBorders>
            <w:shd w:val="clear" w:color="auto" w:fill="auto"/>
            <w:vAlign w:val="center"/>
            <w:hideMark/>
          </w:tcPr>
          <w:p w14:paraId="666D1600"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w:t>
            </w:r>
          </w:p>
        </w:tc>
      </w:tr>
      <w:tr w:rsidR="00131B9F" w:rsidRPr="005F2BEF" w14:paraId="782C37A4" w14:textId="77777777" w:rsidTr="00131B9F">
        <w:trPr>
          <w:trHeight w:val="800"/>
        </w:trPr>
        <w:tc>
          <w:tcPr>
            <w:tcW w:w="1666" w:type="dxa"/>
            <w:tcBorders>
              <w:top w:val="nil"/>
              <w:left w:val="nil"/>
              <w:bottom w:val="nil"/>
              <w:right w:val="nil"/>
            </w:tcBorders>
            <w:shd w:val="clear" w:color="auto" w:fill="auto"/>
            <w:vAlign w:val="center"/>
            <w:hideMark/>
          </w:tcPr>
          <w:p w14:paraId="3A7890A9" w14:textId="66D3AA4D" w:rsidR="00131B9F" w:rsidRPr="005F2BEF" w:rsidRDefault="00131B9F" w:rsidP="005F2BEF">
            <w:pPr>
              <w:jc w:val="center"/>
              <w:rPr>
                <w:rFonts w:eastAsia="Times New Roman"/>
                <w:sz w:val="21"/>
                <w:szCs w:val="21"/>
              </w:rPr>
            </w:pPr>
            <w:r w:rsidRPr="005F2BEF">
              <w:rPr>
                <w:rFonts w:eastAsia="Times New Roman"/>
                <w:sz w:val="21"/>
                <w:szCs w:val="21"/>
              </w:rPr>
              <w:t>GHF@ZIF-8</w:t>
            </w:r>
          </w:p>
        </w:tc>
        <w:tc>
          <w:tcPr>
            <w:tcW w:w="1317" w:type="dxa"/>
            <w:tcBorders>
              <w:top w:val="nil"/>
              <w:left w:val="nil"/>
              <w:bottom w:val="nil"/>
              <w:right w:val="nil"/>
            </w:tcBorders>
            <w:shd w:val="clear" w:color="auto" w:fill="auto"/>
            <w:vAlign w:val="center"/>
            <w:hideMark/>
          </w:tcPr>
          <w:p w14:paraId="3E52719F"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9.77</w:t>
            </w:r>
          </w:p>
        </w:tc>
        <w:tc>
          <w:tcPr>
            <w:tcW w:w="1218" w:type="dxa"/>
            <w:tcBorders>
              <w:top w:val="nil"/>
              <w:left w:val="nil"/>
              <w:bottom w:val="nil"/>
              <w:right w:val="nil"/>
            </w:tcBorders>
            <w:shd w:val="clear" w:color="auto" w:fill="auto"/>
            <w:vAlign w:val="center"/>
            <w:hideMark/>
          </w:tcPr>
          <w:p w14:paraId="7BDDC384"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5.79</w:t>
            </w:r>
          </w:p>
        </w:tc>
        <w:tc>
          <w:tcPr>
            <w:tcW w:w="1340" w:type="dxa"/>
            <w:tcBorders>
              <w:top w:val="nil"/>
              <w:left w:val="nil"/>
              <w:bottom w:val="nil"/>
              <w:right w:val="nil"/>
            </w:tcBorders>
            <w:shd w:val="clear" w:color="auto" w:fill="auto"/>
            <w:vAlign w:val="center"/>
            <w:hideMark/>
          </w:tcPr>
          <w:p w14:paraId="05A2883B"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15.49</w:t>
            </w:r>
          </w:p>
        </w:tc>
        <w:tc>
          <w:tcPr>
            <w:tcW w:w="1240" w:type="dxa"/>
            <w:tcBorders>
              <w:top w:val="nil"/>
              <w:left w:val="nil"/>
              <w:bottom w:val="nil"/>
              <w:right w:val="nil"/>
            </w:tcBorders>
            <w:shd w:val="clear" w:color="auto" w:fill="auto"/>
            <w:vAlign w:val="center"/>
            <w:hideMark/>
          </w:tcPr>
          <w:p w14:paraId="4750FADA"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30.70</w:t>
            </w:r>
          </w:p>
        </w:tc>
        <w:tc>
          <w:tcPr>
            <w:tcW w:w="1060" w:type="dxa"/>
            <w:tcBorders>
              <w:top w:val="nil"/>
              <w:left w:val="nil"/>
              <w:bottom w:val="nil"/>
              <w:right w:val="nil"/>
            </w:tcBorders>
            <w:shd w:val="clear" w:color="auto" w:fill="auto"/>
            <w:vAlign w:val="center"/>
            <w:hideMark/>
          </w:tcPr>
          <w:p w14:paraId="08B4589D"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0.96</w:t>
            </w:r>
          </w:p>
        </w:tc>
        <w:tc>
          <w:tcPr>
            <w:tcW w:w="1279" w:type="dxa"/>
            <w:tcBorders>
              <w:top w:val="nil"/>
              <w:left w:val="nil"/>
              <w:bottom w:val="nil"/>
              <w:right w:val="nil"/>
            </w:tcBorders>
            <w:shd w:val="clear" w:color="auto" w:fill="auto"/>
            <w:vAlign w:val="center"/>
            <w:hideMark/>
          </w:tcPr>
          <w:p w14:paraId="09B8233B"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0.1666</w:t>
            </w:r>
          </w:p>
        </w:tc>
      </w:tr>
      <w:tr w:rsidR="00131B9F" w:rsidRPr="005F2BEF" w14:paraId="486869BE" w14:textId="77777777" w:rsidTr="00131B9F">
        <w:trPr>
          <w:trHeight w:val="800"/>
        </w:trPr>
        <w:tc>
          <w:tcPr>
            <w:tcW w:w="1666" w:type="dxa"/>
            <w:tcBorders>
              <w:top w:val="nil"/>
              <w:left w:val="nil"/>
              <w:bottom w:val="nil"/>
              <w:right w:val="nil"/>
            </w:tcBorders>
            <w:shd w:val="clear" w:color="auto" w:fill="auto"/>
            <w:vAlign w:val="center"/>
            <w:hideMark/>
          </w:tcPr>
          <w:p w14:paraId="535F8B08" w14:textId="1B959E71" w:rsidR="00131B9F" w:rsidRPr="005F2BEF" w:rsidRDefault="00131B9F" w:rsidP="005F2BEF">
            <w:pPr>
              <w:jc w:val="center"/>
              <w:rPr>
                <w:rFonts w:eastAsia="Times New Roman"/>
                <w:sz w:val="21"/>
                <w:szCs w:val="21"/>
              </w:rPr>
            </w:pPr>
            <w:r w:rsidRPr="005F2BEF">
              <w:rPr>
                <w:rFonts w:eastAsia="Times New Roman"/>
                <w:sz w:val="21"/>
                <w:szCs w:val="21"/>
              </w:rPr>
              <w:t>GHF@HKUST-1</w:t>
            </w:r>
          </w:p>
        </w:tc>
        <w:tc>
          <w:tcPr>
            <w:tcW w:w="1317" w:type="dxa"/>
            <w:tcBorders>
              <w:top w:val="nil"/>
              <w:left w:val="nil"/>
              <w:bottom w:val="nil"/>
              <w:right w:val="nil"/>
            </w:tcBorders>
            <w:shd w:val="clear" w:color="auto" w:fill="auto"/>
            <w:vAlign w:val="center"/>
            <w:hideMark/>
          </w:tcPr>
          <w:p w14:paraId="1365A6DF"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9.52</w:t>
            </w:r>
          </w:p>
        </w:tc>
        <w:tc>
          <w:tcPr>
            <w:tcW w:w="1218" w:type="dxa"/>
            <w:tcBorders>
              <w:top w:val="nil"/>
              <w:left w:val="nil"/>
              <w:bottom w:val="nil"/>
              <w:right w:val="nil"/>
            </w:tcBorders>
            <w:shd w:val="clear" w:color="auto" w:fill="auto"/>
            <w:vAlign w:val="center"/>
            <w:hideMark/>
          </w:tcPr>
          <w:p w14:paraId="3DBF813E"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5.54</w:t>
            </w:r>
          </w:p>
        </w:tc>
        <w:tc>
          <w:tcPr>
            <w:tcW w:w="1340" w:type="dxa"/>
            <w:tcBorders>
              <w:top w:val="nil"/>
              <w:left w:val="nil"/>
              <w:bottom w:val="nil"/>
              <w:right w:val="nil"/>
            </w:tcBorders>
            <w:shd w:val="clear" w:color="auto" w:fill="auto"/>
            <w:noWrap/>
            <w:vAlign w:val="center"/>
            <w:hideMark/>
          </w:tcPr>
          <w:p w14:paraId="76CE0541"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14.74</w:t>
            </w:r>
          </w:p>
        </w:tc>
        <w:tc>
          <w:tcPr>
            <w:tcW w:w="1240" w:type="dxa"/>
            <w:tcBorders>
              <w:top w:val="nil"/>
              <w:left w:val="nil"/>
              <w:bottom w:val="nil"/>
              <w:right w:val="nil"/>
            </w:tcBorders>
            <w:shd w:val="clear" w:color="auto" w:fill="auto"/>
            <w:vAlign w:val="center"/>
            <w:hideMark/>
          </w:tcPr>
          <w:p w14:paraId="58AC97BB"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28.50</w:t>
            </w:r>
          </w:p>
        </w:tc>
        <w:tc>
          <w:tcPr>
            <w:tcW w:w="1060" w:type="dxa"/>
            <w:tcBorders>
              <w:top w:val="nil"/>
              <w:left w:val="nil"/>
              <w:bottom w:val="nil"/>
              <w:right w:val="nil"/>
            </w:tcBorders>
            <w:shd w:val="clear" w:color="auto" w:fill="auto"/>
            <w:vAlign w:val="center"/>
            <w:hideMark/>
          </w:tcPr>
          <w:p w14:paraId="7045CA5B"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1.02</w:t>
            </w:r>
          </w:p>
        </w:tc>
        <w:tc>
          <w:tcPr>
            <w:tcW w:w="1279" w:type="dxa"/>
            <w:tcBorders>
              <w:top w:val="nil"/>
              <w:left w:val="nil"/>
              <w:bottom w:val="nil"/>
              <w:right w:val="nil"/>
            </w:tcBorders>
            <w:shd w:val="clear" w:color="auto" w:fill="auto"/>
            <w:vAlign w:val="center"/>
            <w:hideMark/>
          </w:tcPr>
          <w:p w14:paraId="4070F4B4"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0.1840</w:t>
            </w:r>
          </w:p>
        </w:tc>
      </w:tr>
      <w:tr w:rsidR="00131B9F" w:rsidRPr="005F2BEF" w14:paraId="1388F4EC" w14:textId="77777777" w:rsidTr="00131B9F">
        <w:trPr>
          <w:trHeight w:val="800"/>
        </w:trPr>
        <w:tc>
          <w:tcPr>
            <w:tcW w:w="1666" w:type="dxa"/>
            <w:tcBorders>
              <w:top w:val="nil"/>
              <w:left w:val="nil"/>
              <w:bottom w:val="single" w:sz="8" w:space="0" w:color="auto"/>
              <w:right w:val="nil"/>
            </w:tcBorders>
            <w:shd w:val="clear" w:color="auto" w:fill="auto"/>
            <w:vAlign w:val="center"/>
            <w:hideMark/>
          </w:tcPr>
          <w:p w14:paraId="68AD7B62" w14:textId="6E63F3EA" w:rsidR="00131B9F" w:rsidRPr="005F2BEF" w:rsidRDefault="00131B9F" w:rsidP="005F2BEF">
            <w:pPr>
              <w:jc w:val="center"/>
              <w:rPr>
                <w:rFonts w:eastAsia="Times New Roman"/>
                <w:sz w:val="21"/>
                <w:szCs w:val="21"/>
              </w:rPr>
            </w:pPr>
            <w:r w:rsidRPr="005F2BEF">
              <w:rPr>
                <w:rFonts w:eastAsia="Times New Roman"/>
                <w:sz w:val="21"/>
                <w:szCs w:val="21"/>
              </w:rPr>
              <w:t>GHF@ZIF-8@HKUST-1</w:t>
            </w:r>
          </w:p>
        </w:tc>
        <w:tc>
          <w:tcPr>
            <w:tcW w:w="1317" w:type="dxa"/>
            <w:tcBorders>
              <w:top w:val="nil"/>
              <w:left w:val="nil"/>
              <w:bottom w:val="single" w:sz="8" w:space="0" w:color="auto"/>
              <w:right w:val="nil"/>
            </w:tcBorders>
            <w:shd w:val="clear" w:color="auto" w:fill="auto"/>
            <w:vAlign w:val="center"/>
            <w:hideMark/>
          </w:tcPr>
          <w:p w14:paraId="626344E0"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13.35</w:t>
            </w:r>
          </w:p>
        </w:tc>
        <w:tc>
          <w:tcPr>
            <w:tcW w:w="1218" w:type="dxa"/>
            <w:tcBorders>
              <w:top w:val="nil"/>
              <w:left w:val="nil"/>
              <w:bottom w:val="single" w:sz="8" w:space="0" w:color="auto"/>
              <w:right w:val="nil"/>
            </w:tcBorders>
            <w:shd w:val="clear" w:color="auto" w:fill="auto"/>
            <w:vAlign w:val="center"/>
            <w:hideMark/>
          </w:tcPr>
          <w:p w14:paraId="15564342"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9.37</w:t>
            </w:r>
          </w:p>
        </w:tc>
        <w:tc>
          <w:tcPr>
            <w:tcW w:w="1340" w:type="dxa"/>
            <w:tcBorders>
              <w:top w:val="nil"/>
              <w:left w:val="nil"/>
              <w:bottom w:val="single" w:sz="8" w:space="0" w:color="auto"/>
              <w:right w:val="nil"/>
            </w:tcBorders>
            <w:shd w:val="clear" w:color="auto" w:fill="auto"/>
            <w:vAlign w:val="center"/>
            <w:hideMark/>
          </w:tcPr>
          <w:p w14:paraId="295EF473"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22.38</w:t>
            </w:r>
          </w:p>
        </w:tc>
        <w:tc>
          <w:tcPr>
            <w:tcW w:w="1240" w:type="dxa"/>
            <w:tcBorders>
              <w:top w:val="nil"/>
              <w:left w:val="nil"/>
              <w:bottom w:val="single" w:sz="8" w:space="0" w:color="auto"/>
              <w:right w:val="nil"/>
            </w:tcBorders>
            <w:shd w:val="clear" w:color="auto" w:fill="auto"/>
            <w:vAlign w:val="center"/>
            <w:hideMark/>
          </w:tcPr>
          <w:p w14:paraId="3AD49F78"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33.10</w:t>
            </w:r>
          </w:p>
        </w:tc>
        <w:tc>
          <w:tcPr>
            <w:tcW w:w="1060" w:type="dxa"/>
            <w:tcBorders>
              <w:top w:val="nil"/>
              <w:left w:val="nil"/>
              <w:bottom w:val="single" w:sz="8" w:space="0" w:color="auto"/>
              <w:right w:val="nil"/>
            </w:tcBorders>
            <w:shd w:val="clear" w:color="auto" w:fill="auto"/>
            <w:vAlign w:val="center"/>
            <w:hideMark/>
          </w:tcPr>
          <w:p w14:paraId="09F68135"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1.62</w:t>
            </w:r>
          </w:p>
        </w:tc>
        <w:tc>
          <w:tcPr>
            <w:tcW w:w="1279" w:type="dxa"/>
            <w:tcBorders>
              <w:top w:val="nil"/>
              <w:left w:val="nil"/>
              <w:bottom w:val="single" w:sz="8" w:space="0" w:color="auto"/>
              <w:right w:val="nil"/>
            </w:tcBorders>
            <w:shd w:val="clear" w:color="auto" w:fill="auto"/>
            <w:vAlign w:val="center"/>
            <w:hideMark/>
          </w:tcPr>
          <w:p w14:paraId="50C79416" w14:textId="77777777" w:rsidR="00131B9F" w:rsidRPr="005F2BEF" w:rsidRDefault="00131B9F" w:rsidP="005F2BEF">
            <w:pPr>
              <w:jc w:val="center"/>
              <w:rPr>
                <w:rFonts w:eastAsia="Times New Roman"/>
                <w:color w:val="000000"/>
                <w:sz w:val="21"/>
                <w:szCs w:val="21"/>
              </w:rPr>
            </w:pPr>
            <w:r w:rsidRPr="005F2BEF">
              <w:rPr>
                <w:rFonts w:eastAsia="Times New Roman"/>
                <w:color w:val="000000"/>
                <w:sz w:val="21"/>
                <w:szCs w:val="21"/>
              </w:rPr>
              <w:t>0.1731</w:t>
            </w:r>
          </w:p>
        </w:tc>
      </w:tr>
    </w:tbl>
    <w:p w14:paraId="20D6AD9D" w14:textId="77777777" w:rsidR="00547197" w:rsidRDefault="00797771" w:rsidP="00277ACF">
      <w:pPr>
        <w:spacing w:before="120" w:after="120"/>
        <w:rPr>
          <w:b/>
          <w:bCs/>
        </w:rPr>
      </w:pPr>
      <w:r w:rsidRPr="004D4A74">
        <w:rPr>
          <w:b/>
          <w:bCs/>
        </w:rPr>
        <w:br w:type="page"/>
      </w:r>
    </w:p>
    <w:p w14:paraId="3306A4ED" w14:textId="7A705F98" w:rsidR="00547197" w:rsidRDefault="00277ACF" w:rsidP="00277ACF">
      <w:pPr>
        <w:spacing w:before="120" w:after="120"/>
        <w:jc w:val="both"/>
        <w:rPr>
          <w:b/>
          <w:bCs/>
          <w:lang w:val="vi-VN"/>
        </w:rPr>
      </w:pPr>
      <w:r w:rsidRPr="00277ACF">
        <w:rPr>
          <w:b/>
          <w:bCs/>
          <w:lang w:val="vi-VN"/>
        </w:rPr>
        <w:t>Note S</w:t>
      </w:r>
      <w:r w:rsidR="005F2BEF">
        <w:rPr>
          <w:b/>
          <w:bCs/>
          <w:lang w:val="vi-VN"/>
        </w:rPr>
        <w:t>4</w:t>
      </w:r>
      <w:r w:rsidR="00E544C8" w:rsidRPr="004D4A74">
        <w:rPr>
          <w:b/>
          <w:bCs/>
          <w:lang w:val="vi-VN"/>
        </w:rPr>
        <w:t xml:space="preserve"> The characteristics of QSSEs</w:t>
      </w:r>
      <w:r w:rsidR="005F2BEF">
        <w:rPr>
          <w:b/>
          <w:bCs/>
          <w:lang w:val="vi-VN"/>
        </w:rPr>
        <w:t xml:space="preserve"> based on single MOF-coated GHF</w:t>
      </w:r>
    </w:p>
    <w:p w14:paraId="4D5858D8" w14:textId="5532F63F" w:rsidR="00547197" w:rsidRDefault="00E544C8" w:rsidP="005F2BEF">
      <w:pPr>
        <w:spacing w:before="120" w:after="120"/>
        <w:jc w:val="both"/>
        <w:rPr>
          <w:b/>
          <w:bCs/>
          <w:lang w:val="vi-VN"/>
        </w:rPr>
      </w:pPr>
      <w:r w:rsidRPr="004D4A74">
        <w:t xml:space="preserve">The characteristics of our MOF-based QSSEs in comparison with conventional LE are illustrated in Fig. 2g. Traditional LEs exhibit low electrode/electrolyte interfacial resistance due to their high ionic conductivity; however, they suffer from low boiling points, a limited electrochemical window, and the necessity for large electrolyte volumes in batteries. These factors make them prone to decomposition, particularly at elevated temperatures and high voltages, leading to solvent evaporation and gas evolution inside the battery, which compromises safety and increases the risk of explosion. In contrast, when confined within MOF pores, LE exhibits significantly improved thermal and electrochemical stability compared to its bulk state. RDZ, with its small pore size </w:t>
      </w:r>
      <w:r w:rsidR="000801A6" w:rsidRPr="004D4A74">
        <w:t xml:space="preserve">of </w:t>
      </w:r>
      <w:r w:rsidRPr="004D4A74">
        <w:t>0.54 nm</w:t>
      </w:r>
      <w:r w:rsidRPr="004D4A74">
        <w:rPr>
          <w:lang w:val="vi-VN"/>
        </w:rPr>
        <w:t xml:space="preserve"> (</w:t>
      </w:r>
      <w:r w:rsidR="00277ACF" w:rsidRPr="007E1950">
        <w:rPr>
          <w:lang w:val="vi-VN"/>
        </w:rPr>
        <w:t>Fig. S</w:t>
      </w:r>
      <w:r w:rsidRPr="007E1950">
        <w:rPr>
          <w:lang w:val="vi-VN"/>
        </w:rPr>
        <w:t>4a</w:t>
      </w:r>
      <w:r w:rsidRPr="004D4A74">
        <w:rPr>
          <w:lang w:val="vi-VN"/>
        </w:rPr>
        <w:t>)</w:t>
      </w:r>
      <w:r w:rsidRPr="004D4A74">
        <w:t xml:space="preserve">, effectively retains a minimal amount of LE within individual pores, resulting in a high decomposition energy requirement. Consequently, RDZ demonstrates excellent thermal and electrochemical stability while minimizing gas evolution during operation, even at high working temperatures. However, due to its highly closed structure, solvent leakage onto electrode surfaces is limited, leading to high interfacial resistance and low ionic conductivity. Conversely, TOH, with its larger pore size </w:t>
      </w:r>
      <w:r w:rsidR="000801A6" w:rsidRPr="004D4A74">
        <w:t xml:space="preserve">of </w:t>
      </w:r>
      <w:r w:rsidRPr="004D4A74">
        <w:t>0.9 nm</w:t>
      </w:r>
      <w:r w:rsidRPr="004D4A74">
        <w:rPr>
          <w:lang w:val="vi-VN"/>
        </w:rPr>
        <w:t xml:space="preserve"> (</w:t>
      </w:r>
      <w:r w:rsidR="00277ACF" w:rsidRPr="007E1950">
        <w:rPr>
          <w:lang w:val="vi-VN"/>
        </w:rPr>
        <w:t>Fig. S</w:t>
      </w:r>
      <w:r w:rsidRPr="007E1950">
        <w:rPr>
          <w:lang w:val="vi-VN"/>
        </w:rPr>
        <w:t>4b</w:t>
      </w:r>
      <w:r w:rsidRPr="004D4A74">
        <w:rPr>
          <w:lang w:val="vi-VN"/>
        </w:rPr>
        <w:t>)</w:t>
      </w:r>
      <w:r w:rsidRPr="004D4A74">
        <w:t>,</w:t>
      </w:r>
      <w:r w:rsidRPr="004D4A74">
        <w:rPr>
          <w:lang w:val="vi-VN"/>
        </w:rPr>
        <w:t xml:space="preserve"> </w:t>
      </w:r>
      <w:r w:rsidRPr="004D4A74">
        <w:t>facilitates solvent migration onto electrode surfaces, thereby reducing electrode/electrolyte interfacial resistance and enhancing ionic conductivity. However, its thermal and electrochemical stability is lower than that of RDZ due to the weaker confinement effect.</w:t>
      </w:r>
    </w:p>
    <w:bookmarkEnd w:id="3"/>
    <w:p w14:paraId="69A7BFDE" w14:textId="77777777" w:rsidR="00547197" w:rsidRDefault="00C95235" w:rsidP="00277ACF">
      <w:pPr>
        <w:pStyle w:val="NormalWeb"/>
        <w:spacing w:before="120" w:beforeAutospacing="0" w:after="120" w:afterAutospacing="0"/>
        <w:jc w:val="center"/>
      </w:pPr>
      <w:r w:rsidRPr="004D4A74">
        <w:rPr>
          <w:noProof/>
          <w:lang w:val="en-IN" w:eastAsia="en-IN"/>
        </w:rPr>
        <w:drawing>
          <wp:inline distT="0" distB="0" distL="0" distR="0" wp14:anchorId="214F9551" wp14:editId="285E373C">
            <wp:extent cx="3472187" cy="505480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79172" cy="5064971"/>
                    </a:xfrm>
                    <a:prstGeom prst="rect">
                      <a:avLst/>
                    </a:prstGeom>
                    <a:noFill/>
                    <a:ln>
                      <a:noFill/>
                    </a:ln>
                  </pic:spPr>
                </pic:pic>
              </a:graphicData>
            </a:graphic>
          </wp:inline>
        </w:drawing>
      </w:r>
    </w:p>
    <w:p w14:paraId="22D295A7" w14:textId="0EEBFD5F" w:rsidR="00547197" w:rsidRDefault="005F2BEF" w:rsidP="00277ACF">
      <w:pPr>
        <w:spacing w:before="120" w:after="120"/>
        <w:jc w:val="both"/>
        <w:rPr>
          <w:b/>
          <w:bCs/>
          <w:lang w:val="vi-VN"/>
        </w:rPr>
      </w:pPr>
      <w:r>
        <w:rPr>
          <w:b/>
          <w:bCs/>
        </w:rPr>
        <w:t>Fig. S</w:t>
      </w:r>
      <w:r w:rsidR="00C95235" w:rsidRPr="004D4A74">
        <w:rPr>
          <w:b/>
          <w:bCs/>
        </w:rPr>
        <w:t>4</w:t>
      </w:r>
      <w:r w:rsidR="00C95235" w:rsidRPr="004D4A74">
        <w:rPr>
          <w:b/>
          <w:bCs/>
          <w:lang w:val="vi-VN"/>
        </w:rPr>
        <w:t xml:space="preserve"> a,</w:t>
      </w:r>
      <w:r>
        <w:rPr>
          <w:b/>
          <w:bCs/>
          <w:lang w:val="vi-VN"/>
        </w:rPr>
        <w:t xml:space="preserve"> </w:t>
      </w:r>
      <w:r w:rsidR="00C95235" w:rsidRPr="004D4A74">
        <w:rPr>
          <w:b/>
          <w:bCs/>
          <w:lang w:val="vi-VN"/>
        </w:rPr>
        <w:t xml:space="preserve">b, </w:t>
      </w:r>
      <w:r w:rsidR="00C95235" w:rsidRPr="004D4A74">
        <w:t>Pore size distributions of</w:t>
      </w:r>
      <w:r w:rsidR="00C95235" w:rsidRPr="004D4A74">
        <w:rPr>
          <w:lang w:val="vi-VN"/>
        </w:rPr>
        <w:t xml:space="preserve"> GHF@</w:t>
      </w:r>
      <w:r w:rsidR="008839C7" w:rsidRPr="004D4A74">
        <w:rPr>
          <w:lang w:val="vi-VN"/>
        </w:rPr>
        <w:t>ZIF-8</w:t>
      </w:r>
      <w:r w:rsidR="00C95235" w:rsidRPr="004D4A74">
        <w:t xml:space="preserve"> </w:t>
      </w:r>
      <w:r w:rsidR="00C95235" w:rsidRPr="004D4A74">
        <w:rPr>
          <w:lang w:val="vi-VN"/>
        </w:rPr>
        <w:t>(</w:t>
      </w:r>
      <w:r w:rsidR="00C95235" w:rsidRPr="004D4A74">
        <w:rPr>
          <w:b/>
          <w:bCs/>
          <w:lang w:val="vi-VN"/>
        </w:rPr>
        <w:t>a</w:t>
      </w:r>
      <w:r w:rsidR="00C95235" w:rsidRPr="004D4A74">
        <w:rPr>
          <w:lang w:val="vi-VN"/>
        </w:rPr>
        <w:t xml:space="preserve">) </w:t>
      </w:r>
      <w:r w:rsidR="00C95235" w:rsidRPr="004D4A74">
        <w:t>and</w:t>
      </w:r>
      <w:r w:rsidR="00C95235" w:rsidRPr="004D4A74">
        <w:rPr>
          <w:lang w:val="vi-VN"/>
        </w:rPr>
        <w:t xml:space="preserve"> GHF@</w:t>
      </w:r>
      <w:r w:rsidR="008839C7" w:rsidRPr="004D4A74">
        <w:rPr>
          <w:lang w:val="vi-VN"/>
        </w:rPr>
        <w:t>HKUST-1</w:t>
      </w:r>
      <w:r w:rsidR="00C95235" w:rsidRPr="004D4A74">
        <w:t xml:space="preserve"> </w:t>
      </w:r>
      <w:r w:rsidR="00C95235" w:rsidRPr="004D4A74">
        <w:rPr>
          <w:lang w:val="vi-VN"/>
        </w:rPr>
        <w:t>(</w:t>
      </w:r>
      <w:r>
        <w:rPr>
          <w:b/>
          <w:bCs/>
          <w:lang w:val="vi-VN"/>
        </w:rPr>
        <w:t>b)</w:t>
      </w:r>
    </w:p>
    <w:p w14:paraId="6216ECF1" w14:textId="12432EE8" w:rsidR="00547197" w:rsidRPr="005F2BEF" w:rsidRDefault="00277ACF" w:rsidP="00277ACF">
      <w:pPr>
        <w:spacing w:before="120" w:after="120"/>
        <w:jc w:val="both"/>
        <w:rPr>
          <w:b/>
          <w:bCs/>
        </w:rPr>
      </w:pPr>
      <w:r w:rsidRPr="00277ACF">
        <w:rPr>
          <w:b/>
          <w:bCs/>
          <w:lang w:val="vi-VN"/>
        </w:rPr>
        <w:t>Note S</w:t>
      </w:r>
      <w:r w:rsidR="00524C64" w:rsidRPr="004D4A74">
        <w:rPr>
          <w:b/>
          <w:bCs/>
          <w:lang w:val="vi-VN"/>
        </w:rPr>
        <w:t xml:space="preserve">5 Raman analysis for the investigation of </w:t>
      </w:r>
      <w:r w:rsidR="00524C64" w:rsidRPr="004D4A74">
        <w:rPr>
          <w:b/>
          <w:bCs/>
        </w:rPr>
        <w:t>solvation structures and ion-transport properties in GHF@MOF QSSEs</w:t>
      </w:r>
    </w:p>
    <w:p w14:paraId="494AC313" w14:textId="66997F31" w:rsidR="00547197" w:rsidRDefault="00524C64" w:rsidP="005F2BEF">
      <w:pPr>
        <w:spacing w:before="120" w:after="120"/>
        <w:jc w:val="both"/>
        <w:rPr>
          <w:b/>
          <w:bCs/>
        </w:rPr>
      </w:pPr>
      <w:r w:rsidRPr="004D4A74">
        <w:rPr>
          <w:lang w:val="vi-VN"/>
        </w:rPr>
        <w:t>Raman spectroscopy was employed as a preliminary tool to explore the chemical interactions of LiTFSI liquid electrolyte (LE) within MOF pores, as well as the ion transport dynamics of Li</w:t>
      </w:r>
      <w:r w:rsidRPr="004D4A74">
        <w:rPr>
          <w:vertAlign w:val="superscript"/>
          <w:lang w:val="vi-VN"/>
        </w:rPr>
        <w:t>+</w:t>
      </w:r>
      <w:r w:rsidRPr="004D4A74">
        <w:rPr>
          <w:lang w:val="vi-VN"/>
        </w:rPr>
        <w:t xml:space="preserve"> within the MOF nanochannels (Fig. 3a). For bulk LE (1M LiTFSI in PC), a strong characteristic peak at 707 cm</w:t>
      </w:r>
      <w:r w:rsidRPr="004D4A74">
        <w:rPr>
          <w:vertAlign w:val="superscript"/>
        </w:rPr>
        <w:t>-1</w:t>
      </w:r>
      <w:r w:rsidRPr="004D4A74">
        <w:rPr>
          <w:lang w:val="vi-VN"/>
        </w:rPr>
        <w:t xml:space="preserve"> was observed, representing Li</w:t>
      </w:r>
      <w:r w:rsidRPr="004D4A74">
        <w:rPr>
          <w:vertAlign w:val="superscript"/>
          <w:lang w:val="vi-VN"/>
        </w:rPr>
        <w:t>+</w:t>
      </w:r>
      <w:r w:rsidRPr="004D4A74">
        <w:rPr>
          <w:lang w:val="vi-VN"/>
        </w:rPr>
        <w:t>-PC interactions in LE</w:t>
      </w:r>
      <w:sdt>
        <w:sdtPr>
          <w:rPr>
            <w:color w:val="000000"/>
            <w:lang w:val="vi-VN"/>
          </w:rPr>
          <w:tag w:val="MENDELEY_CITATION_v3_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"/>
          <w:id w:val="-622157422"/>
          <w:placeholder>
            <w:docPart w:val="4EE73BE20D0E4C5CA40B0399CBDAD17F"/>
          </w:placeholder>
        </w:sdtPr>
        <w:sdtEndPr/>
        <w:sdtContent>
          <w:r w:rsidRPr="004D4A74">
            <w:rPr>
              <w:color w:val="000000"/>
              <w:lang w:val="vi-VN"/>
            </w:rPr>
            <w:t xml:space="preserve"> [</w:t>
          </w:r>
          <w:r w:rsidR="005F2BEF">
            <w:rPr>
              <w:color w:val="000000"/>
              <w:lang w:val="vi-VN"/>
            </w:rPr>
            <w:t>S</w:t>
          </w:r>
          <w:r w:rsidRPr="004D4A74">
            <w:rPr>
              <w:color w:val="000000"/>
              <w:lang w:val="vi-VN"/>
            </w:rPr>
            <w:t>16]</w:t>
          </w:r>
        </w:sdtContent>
      </w:sdt>
      <w:r w:rsidRPr="004D4A74">
        <w:rPr>
          <w:lang w:val="vi-VN"/>
        </w:rPr>
        <w:t>, while another peak at 474 cm</w:t>
      </w:r>
      <w:r w:rsidRPr="004D4A74">
        <w:rPr>
          <w:vertAlign w:val="superscript"/>
        </w:rPr>
        <w:t>-1</w:t>
      </w:r>
      <w:r w:rsidRPr="004D4A74">
        <w:rPr>
          <w:lang w:val="vi-VN"/>
        </w:rPr>
        <w:t xml:space="preserve"> corresponded to C=O bending and ring deformation of PC molecules </w:t>
      </w:r>
      <w:sdt>
        <w:sdtPr>
          <w:rPr>
            <w:color w:val="000000"/>
            <w:lang w:val="vi-VN"/>
          </w:rPr>
          <w:tag w:val="MENDELEY_CITATION_v3_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"/>
          <w:id w:val="-919172236"/>
          <w:placeholder>
            <w:docPart w:val="4EE73BE20D0E4C5CA40B0399CBDAD17F"/>
          </w:placeholder>
        </w:sdtPr>
        <w:sdtEndPr/>
        <w:sdtContent>
          <w:r w:rsidRPr="004D4A74">
            <w:rPr>
              <w:color w:val="000000"/>
              <w:lang w:val="vi-VN"/>
            </w:rPr>
            <w:t>[</w:t>
          </w:r>
          <w:r w:rsidR="005F2BEF">
            <w:rPr>
              <w:color w:val="000000"/>
              <w:lang w:val="vi-VN"/>
            </w:rPr>
            <w:t>S</w:t>
          </w:r>
          <w:r w:rsidRPr="004D4A74">
            <w:rPr>
              <w:color w:val="000000"/>
              <w:lang w:val="vi-VN"/>
            </w:rPr>
            <w:t>17]</w:t>
          </w:r>
        </w:sdtContent>
      </w:sdt>
      <w:r w:rsidRPr="004D4A74">
        <w:rPr>
          <w:lang w:val="vi-VN"/>
        </w:rPr>
        <w:t>. Upon activation to confine LE within HKUST-1 pores, the presence of a strong peak at 976 cm</w:t>
      </w:r>
      <w:r w:rsidRPr="004D4A74">
        <w:rPr>
          <w:vertAlign w:val="superscript"/>
        </w:rPr>
        <w:t>-1</w:t>
      </w:r>
      <w:r w:rsidRPr="004D4A74">
        <w:rPr>
          <w:lang w:val="vi-VN"/>
        </w:rPr>
        <w:t xml:space="preserve"> and a weak peak at 223 cm</w:t>
      </w:r>
      <w:r w:rsidRPr="004D4A74">
        <w:rPr>
          <w:vertAlign w:val="superscript"/>
        </w:rPr>
        <w:t>-1</w:t>
      </w:r>
      <w:r w:rsidRPr="004D4A74">
        <w:rPr>
          <w:lang w:val="vi-VN"/>
        </w:rPr>
        <w:t xml:space="preserve"> indicated that Li</w:t>
      </w:r>
      <w:r w:rsidRPr="004D4A74">
        <w:rPr>
          <w:vertAlign w:val="superscript"/>
          <w:lang w:val="vi-VN"/>
        </w:rPr>
        <w:t>+</w:t>
      </w:r>
      <w:r w:rsidRPr="004D4A74">
        <w:rPr>
          <w:lang w:val="vi-VN"/>
        </w:rPr>
        <w:t>-PC-TFSI</w:t>
      </w:r>
      <w:r w:rsidRPr="004D4A74">
        <w:rPr>
          <w:vertAlign w:val="superscript"/>
          <w:lang w:val="vi-VN"/>
        </w:rPr>
        <w:t>-</w:t>
      </w:r>
      <w:r w:rsidRPr="004D4A74">
        <w:rPr>
          <w:lang w:val="vi-VN"/>
        </w:rPr>
        <w:t xml:space="preserve"> interactions dominated over Li</w:t>
      </w:r>
      <w:r w:rsidRPr="004D4A74">
        <w:rPr>
          <w:vertAlign w:val="superscript"/>
          <w:lang w:val="vi-VN"/>
        </w:rPr>
        <w:t>+</w:t>
      </w:r>
      <w:r w:rsidRPr="004D4A74">
        <w:rPr>
          <w:lang w:val="vi-VN"/>
        </w:rPr>
        <w:t>-TFSI</w:t>
      </w:r>
      <w:r w:rsidRPr="004D4A74">
        <w:rPr>
          <w:vertAlign w:val="superscript"/>
          <w:lang w:val="vi-VN"/>
        </w:rPr>
        <w:t>-</w:t>
      </w:r>
      <w:r w:rsidRPr="004D4A74">
        <w:rPr>
          <w:lang w:val="vi-VN"/>
        </w:rPr>
        <w:t>-MOF interactions in the large pores of HKUST-1. This suggests that PC within HKUST-1 pores exhibits enhanced affinity toward Li</w:t>
      </w:r>
      <w:r w:rsidRPr="004D4A74">
        <w:rPr>
          <w:vertAlign w:val="superscript"/>
          <w:lang w:val="vi-VN"/>
        </w:rPr>
        <w:t>+</w:t>
      </w:r>
      <w:r w:rsidRPr="004D4A74">
        <w:rPr>
          <w:lang w:val="vi-VN"/>
        </w:rPr>
        <w:t>, forming a solvation structure in which Li</w:t>
      </w:r>
      <w:r w:rsidRPr="004D4A74">
        <w:rPr>
          <w:vertAlign w:val="superscript"/>
          <w:lang w:val="vi-VN"/>
        </w:rPr>
        <w:t>+</w:t>
      </w:r>
      <w:r w:rsidRPr="004D4A74">
        <w:rPr>
          <w:lang w:val="vi-VN"/>
        </w:rPr>
        <w:t xml:space="preserve"> is surrounded by multiple PC molecules, thereby weakening the Li</w:t>
      </w:r>
      <w:r w:rsidRPr="004D4A74">
        <w:rPr>
          <w:vertAlign w:val="superscript"/>
          <w:lang w:val="vi-VN"/>
        </w:rPr>
        <w:t>+</w:t>
      </w:r>
      <w:r w:rsidRPr="004D4A74">
        <w:rPr>
          <w:lang w:val="vi-VN"/>
        </w:rPr>
        <w:t>-TFSI</w:t>
      </w:r>
      <w:r w:rsidRPr="004D4A74">
        <w:rPr>
          <w:vertAlign w:val="superscript"/>
          <w:lang w:val="vi-VN"/>
        </w:rPr>
        <w:t>-</w:t>
      </w:r>
      <w:r w:rsidRPr="004D4A74">
        <w:rPr>
          <w:lang w:val="vi-VN"/>
        </w:rPr>
        <w:t xml:space="preserve"> bond. Interestingly, ZIF-8, with its smaller pores, exhibited significantly enhanced Li</w:t>
      </w:r>
      <w:r w:rsidRPr="004D4A74">
        <w:rPr>
          <w:vertAlign w:val="superscript"/>
          <w:lang w:val="vi-VN"/>
        </w:rPr>
        <w:t>+</w:t>
      </w:r>
      <w:r w:rsidRPr="004D4A74">
        <w:rPr>
          <w:lang w:val="vi-VN"/>
        </w:rPr>
        <w:t>-TFSI</w:t>
      </w:r>
      <w:r w:rsidRPr="004D4A74">
        <w:rPr>
          <w:vertAlign w:val="superscript"/>
          <w:lang w:val="vi-VN"/>
        </w:rPr>
        <w:t>-</w:t>
      </w:r>
      <w:r w:rsidRPr="004D4A74">
        <w:rPr>
          <w:lang w:val="vi-VN"/>
        </w:rPr>
        <w:t>-MOF interactions (peak at 372 cm</w:t>
      </w:r>
      <w:r w:rsidRPr="004D4A74">
        <w:rPr>
          <w:vertAlign w:val="superscript"/>
        </w:rPr>
        <w:t>-1</w:t>
      </w:r>
      <w:r w:rsidRPr="004D4A74">
        <w:rPr>
          <w:lang w:val="vi-VN"/>
        </w:rPr>
        <w:t>), while the Li</w:t>
      </w:r>
      <w:r w:rsidRPr="004D4A74">
        <w:rPr>
          <w:vertAlign w:val="superscript"/>
          <w:lang w:val="vi-VN"/>
        </w:rPr>
        <w:t>+</w:t>
      </w:r>
      <w:r w:rsidRPr="004D4A74">
        <w:rPr>
          <w:lang w:val="vi-VN"/>
        </w:rPr>
        <w:t>-PC-TFSI</w:t>
      </w:r>
      <w:r w:rsidRPr="004D4A74">
        <w:rPr>
          <w:vertAlign w:val="superscript"/>
          <w:lang w:val="vi-VN"/>
        </w:rPr>
        <w:t>-</w:t>
      </w:r>
      <w:r w:rsidRPr="004D4A74">
        <w:rPr>
          <w:lang w:val="vi-VN"/>
        </w:rPr>
        <w:t xml:space="preserve"> interactions were substantially reduced. This is attributed to strong nanoscale confinement effects, wherein Li</w:t>
      </w:r>
      <w:r w:rsidRPr="004D4A74">
        <w:rPr>
          <w:vertAlign w:val="superscript"/>
          <w:lang w:val="vi-VN"/>
        </w:rPr>
        <w:t>+</w:t>
      </w:r>
      <w:r w:rsidRPr="004D4A74">
        <w:rPr>
          <w:lang w:val="vi-VN"/>
        </w:rPr>
        <w:t xml:space="preserve"> and TFSI</w:t>
      </w:r>
      <w:r w:rsidRPr="004D4A74">
        <w:rPr>
          <w:vertAlign w:val="superscript"/>
          <w:lang w:val="vi-VN"/>
        </w:rPr>
        <w:t xml:space="preserve">- </w:t>
      </w:r>
      <w:r w:rsidRPr="004D4A74">
        <w:rPr>
          <w:lang w:val="vi-VN"/>
        </w:rPr>
        <w:t xml:space="preserve">are brought closer together in the </w:t>
      </w:r>
      <w:r w:rsidRPr="004D4A74">
        <w:t>narrow</w:t>
      </w:r>
      <w:r w:rsidRPr="004D4A74">
        <w:rPr>
          <w:lang w:val="vi-VN"/>
        </w:rPr>
        <w:t xml:space="preserve"> space, leading to the formation of a crystal-like Li-TFSI structure, as evidenced by the emergence of a new XRD peak (Fig. 2c). These findings indicate that a de-solvated Li</w:t>
      </w:r>
      <w:r w:rsidRPr="004D4A74">
        <w:rPr>
          <w:vertAlign w:val="superscript"/>
          <w:lang w:val="vi-VN"/>
        </w:rPr>
        <w:t>+</w:t>
      </w:r>
      <w:r w:rsidRPr="004D4A74">
        <w:rPr>
          <w:lang w:val="vi-VN"/>
        </w:rPr>
        <w:t xml:space="preserve"> structure dominates within the narrow pore space of ZIF-8. Raman shifts at 748 cm</w:t>
      </w:r>
      <w:r w:rsidRPr="004D4A74">
        <w:rPr>
          <w:vertAlign w:val="superscript"/>
        </w:rPr>
        <w:t>-1</w:t>
      </w:r>
      <w:r w:rsidRPr="004D4A74">
        <w:rPr>
          <w:lang w:val="vi-VN"/>
        </w:rPr>
        <w:t xml:space="preserve"> correspond to Li</w:t>
      </w:r>
      <w:r w:rsidRPr="004D4A74">
        <w:rPr>
          <w:vertAlign w:val="superscript"/>
        </w:rPr>
        <w:t>+</w:t>
      </w:r>
      <w:r w:rsidRPr="004D4A74">
        <w:rPr>
          <w:lang w:val="vi-VN"/>
        </w:rPr>
        <w:t>-TFSI</w:t>
      </w:r>
      <w:r w:rsidRPr="004D4A74">
        <w:rPr>
          <w:vertAlign w:val="superscript"/>
        </w:rPr>
        <w:t>-</w:t>
      </w:r>
      <w:r w:rsidRPr="004D4A74">
        <w:rPr>
          <w:lang w:val="vi-VN"/>
        </w:rPr>
        <w:t xml:space="preserve"> interactions in unactivated LiTFSI salt crystals, which still exist within the GHF@MOF membrane body after post-drying. These residual salts serve as a reference, emphasizing the distinct Li⁺–TFSI⁻ interactions occurring both inside and outside the MOF pores.</w:t>
      </w:r>
    </w:p>
    <w:p w14:paraId="7CC848A7" w14:textId="48B9BA2B" w:rsidR="00547197" w:rsidRDefault="00277ACF" w:rsidP="005F2BEF">
      <w:pPr>
        <w:spacing w:before="240" w:after="240"/>
        <w:jc w:val="both"/>
        <w:rPr>
          <w:b/>
          <w:bCs/>
        </w:rPr>
      </w:pPr>
      <w:r w:rsidRPr="00277ACF">
        <w:rPr>
          <w:b/>
          <w:bCs/>
        </w:rPr>
        <w:t>Note S</w:t>
      </w:r>
      <w:r w:rsidR="00797771" w:rsidRPr="004D4A74">
        <w:rPr>
          <w:b/>
          <w:bCs/>
        </w:rPr>
        <w:t xml:space="preserve">6 </w:t>
      </w:r>
      <w:r w:rsidR="00797771" w:rsidRPr="004D4A74">
        <w:rPr>
          <w:rFonts w:eastAsia="Times New Roman"/>
          <w:b/>
          <w:bCs/>
        </w:rPr>
        <w:t>The difference in ionic activation energy of GHF@MOF-based QSSEs</w:t>
      </w:r>
    </w:p>
    <w:p w14:paraId="29AFE52E" w14:textId="62F99BDA" w:rsidR="00547197" w:rsidRDefault="00797771" w:rsidP="00277ACF">
      <w:pPr>
        <w:spacing w:before="120" w:after="120"/>
        <w:jc w:val="both"/>
        <w:rPr>
          <w:rFonts w:eastAsia="Times New Roman"/>
        </w:rPr>
      </w:pPr>
      <w:r w:rsidRPr="004D4A74">
        <w:rPr>
          <w:rFonts w:eastAsia="Times New Roman"/>
        </w:rPr>
        <w:t>To further analyze and compare ion transport behavior within different single-MOF nanochannels, we conducted electrochemical impedance spectroscopy (EIS) measurements of QSSEs based on GHF@</w:t>
      </w:r>
      <w:r w:rsidR="00244557" w:rsidRPr="004D4A74">
        <w:rPr>
          <w:rFonts w:eastAsia="Times New Roman"/>
        </w:rPr>
        <w:t>ZIF</w:t>
      </w:r>
      <w:r w:rsidR="00244557" w:rsidRPr="004D4A74">
        <w:rPr>
          <w:rFonts w:eastAsia="Times New Roman"/>
          <w:lang w:val="vi-VN"/>
        </w:rPr>
        <w:t>-8</w:t>
      </w:r>
      <w:r w:rsidRPr="004D4A74">
        <w:rPr>
          <w:rFonts w:eastAsia="Times New Roman"/>
        </w:rPr>
        <w:t xml:space="preserve"> and GHF@</w:t>
      </w:r>
      <w:r w:rsidR="00244557" w:rsidRPr="004D4A74">
        <w:rPr>
          <w:rFonts w:eastAsia="Times New Roman"/>
        </w:rPr>
        <w:t>HKUST</w:t>
      </w:r>
      <w:r w:rsidR="00244557" w:rsidRPr="004D4A74">
        <w:rPr>
          <w:rFonts w:eastAsia="Times New Roman"/>
          <w:lang w:val="vi-VN"/>
        </w:rPr>
        <w:t>-1</w:t>
      </w:r>
      <w:r w:rsidRPr="004D4A74">
        <w:rPr>
          <w:rFonts w:eastAsia="Times New Roman"/>
        </w:rPr>
        <w:t xml:space="preserve"> over a temperature range from room temperature (25 °C) to 70 °C. The ionic activation energies were then calculated using Arrhenius plots, as shown in </w:t>
      </w:r>
      <w:r w:rsidR="00277ACF" w:rsidRPr="007E1950">
        <w:rPr>
          <w:rFonts w:eastAsia="Times New Roman"/>
        </w:rPr>
        <w:t>Fig. S</w:t>
      </w:r>
      <w:r w:rsidR="00F11FFD" w:rsidRPr="007E1950">
        <w:rPr>
          <w:rFonts w:eastAsia="Times New Roman"/>
        </w:rPr>
        <w:t>5</w:t>
      </w:r>
      <w:r w:rsidRPr="004D4A74">
        <w:rPr>
          <w:rFonts w:eastAsia="Times New Roman"/>
        </w:rPr>
        <w:t xml:space="preserve">. The linearity of all Arrhenius plots indicates that no structural or compositional changes occurred in the MOF-based separators during measurement, confirming the thermal stability of these QSSEs within the 25–70 °C range. Notably, the activation energy of the </w:t>
      </w:r>
      <w:r w:rsidR="00244557" w:rsidRPr="004D4A74">
        <w:rPr>
          <w:rFonts w:eastAsia="Times New Roman"/>
        </w:rPr>
        <w:t>GHF@ZIF</w:t>
      </w:r>
      <w:r w:rsidR="00244557" w:rsidRPr="004D4A74">
        <w:rPr>
          <w:rFonts w:eastAsia="Times New Roman"/>
          <w:lang w:val="vi-VN"/>
        </w:rPr>
        <w:t>-8</w:t>
      </w:r>
      <w:r w:rsidRPr="004D4A74">
        <w:rPr>
          <w:rFonts w:eastAsia="Times New Roman"/>
        </w:rPr>
        <w:t xml:space="preserve">-based QSSE (0.106 eV) was significantly lower than that of the </w:t>
      </w:r>
      <w:r w:rsidR="00244557" w:rsidRPr="004D4A74">
        <w:rPr>
          <w:rFonts w:eastAsia="Times New Roman"/>
        </w:rPr>
        <w:t>GHF@HKUST</w:t>
      </w:r>
      <w:r w:rsidR="00244557" w:rsidRPr="004D4A74">
        <w:rPr>
          <w:rFonts w:eastAsia="Times New Roman"/>
          <w:lang w:val="vi-VN"/>
        </w:rPr>
        <w:t>-1</w:t>
      </w:r>
      <w:r w:rsidRPr="004D4A74">
        <w:rPr>
          <w:rFonts w:eastAsia="Times New Roman"/>
        </w:rPr>
        <w:t>-based QSSE (0.228 eV), suggesting a more favorable Li⁺ transport mechanism in the former.</w:t>
      </w:r>
      <w:r w:rsidRPr="004D4A74">
        <w:rPr>
          <w:rFonts w:eastAsia="Times New Roman"/>
          <w:lang w:val="vi-VN"/>
        </w:rPr>
        <w:t xml:space="preserve"> </w:t>
      </w:r>
      <w:r w:rsidRPr="004D4A74">
        <w:rPr>
          <w:rFonts w:eastAsia="Times New Roman"/>
        </w:rPr>
        <w:t xml:space="preserve">This difference implies that the interfacial de-solvation process of Li⁺ ions is energetically more efficient in the </w:t>
      </w:r>
      <w:r w:rsidR="00244557" w:rsidRPr="004D4A74">
        <w:rPr>
          <w:rFonts w:eastAsia="Times New Roman"/>
        </w:rPr>
        <w:t>ZIF</w:t>
      </w:r>
      <w:r w:rsidR="00244557" w:rsidRPr="004D4A74">
        <w:rPr>
          <w:rFonts w:eastAsia="Times New Roman"/>
          <w:lang w:val="vi-VN"/>
        </w:rPr>
        <w:t>-8</w:t>
      </w:r>
      <w:r w:rsidRPr="004D4A74">
        <w:rPr>
          <w:rFonts w:eastAsia="Times New Roman"/>
        </w:rPr>
        <w:t xml:space="preserve">-based system. The confined and rigid nanochannels of </w:t>
      </w:r>
      <w:r w:rsidR="00244557" w:rsidRPr="004D4A74">
        <w:rPr>
          <w:rFonts w:eastAsia="Times New Roman"/>
        </w:rPr>
        <w:t>ZIF</w:t>
      </w:r>
      <w:r w:rsidR="00244557" w:rsidRPr="004D4A74">
        <w:rPr>
          <w:rFonts w:eastAsia="Times New Roman"/>
          <w:lang w:val="vi-VN"/>
        </w:rPr>
        <w:t>-8</w:t>
      </w:r>
      <w:r w:rsidRPr="004D4A74">
        <w:rPr>
          <w:rFonts w:eastAsia="Times New Roman"/>
        </w:rPr>
        <w:t xml:space="preserve"> facilitate the preferential transport of partially or fully de-solvated Li⁺ ions toward the electrode interface. Consequently, these de-solvated Li⁺ ions can immediately participate in electron transfer to form metallic lithium without requiring an additional de-solvation step. In contrast, the larger and less confined </w:t>
      </w:r>
      <w:r w:rsidR="00244557" w:rsidRPr="004D4A74">
        <w:rPr>
          <w:rFonts w:eastAsia="Times New Roman"/>
        </w:rPr>
        <w:t>HKUST</w:t>
      </w:r>
      <w:r w:rsidR="00244557" w:rsidRPr="004D4A74">
        <w:rPr>
          <w:rFonts w:eastAsia="Times New Roman"/>
          <w:lang w:val="vi-VN"/>
        </w:rPr>
        <w:t>-1</w:t>
      </w:r>
      <w:r w:rsidRPr="004D4A74">
        <w:rPr>
          <w:rFonts w:eastAsia="Times New Roman"/>
        </w:rPr>
        <w:t xml:space="preserve"> channels allow Li⁺ ions to remain heavily solvated by PC molecules during transit. Upon reaching the electrode surface, these solvated Li⁺ ions must undergo a further de-solvation step to remove the surrounding solvent shell before electron transfer can proceed, resulting in a higher energy barrier and slower interfacial kinetics.</w:t>
      </w:r>
    </w:p>
    <w:p w14:paraId="5BF7D699" w14:textId="77777777" w:rsidR="00547197" w:rsidRDefault="00547197" w:rsidP="00277ACF">
      <w:pPr>
        <w:spacing w:before="120" w:after="120"/>
        <w:jc w:val="both"/>
      </w:pPr>
    </w:p>
    <w:p w14:paraId="4DF090F6" w14:textId="77777777" w:rsidR="00547197" w:rsidRDefault="00547197" w:rsidP="00277ACF">
      <w:pPr>
        <w:spacing w:before="120" w:after="120"/>
        <w:jc w:val="both"/>
        <w:rPr>
          <w:b/>
          <w:bCs/>
          <w:lang w:val="vi-VN"/>
        </w:rPr>
      </w:pPr>
    </w:p>
    <w:p w14:paraId="20F5FDFE" w14:textId="77777777" w:rsidR="00547197" w:rsidRDefault="00547197" w:rsidP="00277ACF">
      <w:pPr>
        <w:spacing w:before="120" w:after="120"/>
        <w:jc w:val="both"/>
        <w:rPr>
          <w:b/>
          <w:bCs/>
        </w:rPr>
      </w:pPr>
    </w:p>
    <w:p w14:paraId="480875EF" w14:textId="77777777" w:rsidR="00547197" w:rsidRDefault="00797771" w:rsidP="00277ACF">
      <w:pPr>
        <w:spacing w:before="120" w:after="120"/>
        <w:jc w:val="both"/>
        <w:rPr>
          <w:b/>
          <w:bCs/>
        </w:rPr>
      </w:pPr>
      <w:r w:rsidRPr="004D4A74">
        <w:rPr>
          <w:b/>
          <w:bCs/>
        </w:rPr>
        <w:br w:type="page"/>
      </w:r>
    </w:p>
    <w:p w14:paraId="4FEF0995" w14:textId="77777777" w:rsidR="00547197" w:rsidRDefault="00174DA8" w:rsidP="00277ACF">
      <w:pPr>
        <w:spacing w:before="120" w:after="120"/>
        <w:jc w:val="both"/>
        <w:rPr>
          <w:b/>
          <w:bCs/>
        </w:rPr>
      </w:pPr>
      <w:bookmarkStart w:id="4" w:name="_Hlk194865247"/>
      <w:r w:rsidRPr="004D4A74">
        <w:rPr>
          <w:b/>
          <w:bCs/>
          <w:noProof/>
          <w:lang w:val="en-IN" w:eastAsia="en-IN"/>
        </w:rPr>
        <w:drawing>
          <wp:inline distT="0" distB="0" distL="0" distR="0" wp14:anchorId="3767D985" wp14:editId="5E59FBC9">
            <wp:extent cx="5780599" cy="487845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r="4927"/>
                    <a:stretch/>
                  </pic:blipFill>
                  <pic:spPr bwMode="auto">
                    <a:xfrm>
                      <a:off x="0" y="0"/>
                      <a:ext cx="5786375" cy="4883328"/>
                    </a:xfrm>
                    <a:prstGeom prst="rect">
                      <a:avLst/>
                    </a:prstGeom>
                    <a:noFill/>
                    <a:ln>
                      <a:noFill/>
                    </a:ln>
                    <a:extLst>
                      <a:ext uri="{53640926-AAD7-44D8-BBD7-CCE9431645EC}">
                        <a14:shadowObscured xmlns:a14="http://schemas.microsoft.com/office/drawing/2010/main"/>
                      </a:ext>
                    </a:extLst>
                  </pic:spPr>
                </pic:pic>
              </a:graphicData>
            </a:graphic>
          </wp:inline>
        </w:drawing>
      </w:r>
    </w:p>
    <w:p w14:paraId="326D81F7" w14:textId="72190D71" w:rsidR="00547197" w:rsidRDefault="00277ACF" w:rsidP="005F2BEF">
      <w:pPr>
        <w:spacing w:before="120" w:after="120"/>
        <w:jc w:val="both"/>
        <w:rPr>
          <w:b/>
          <w:bCs/>
        </w:rPr>
      </w:pPr>
      <w:r w:rsidRPr="00277ACF">
        <w:rPr>
          <w:b/>
          <w:bCs/>
        </w:rPr>
        <w:t>Fig. S</w:t>
      </w:r>
      <w:bookmarkEnd w:id="4"/>
      <w:r w:rsidR="00EF74CE" w:rsidRPr="004D4A74">
        <w:rPr>
          <w:b/>
          <w:bCs/>
        </w:rPr>
        <w:t>5</w:t>
      </w:r>
      <w:r w:rsidR="00797771" w:rsidRPr="004D4A74">
        <w:rPr>
          <w:b/>
          <w:bCs/>
          <w:lang w:val="vi-VN"/>
        </w:rPr>
        <w:t xml:space="preserve"> a-</w:t>
      </w:r>
      <w:r w:rsidR="00797771" w:rsidRPr="004D4A74">
        <w:rPr>
          <w:b/>
          <w:bCs/>
        </w:rPr>
        <w:t>c</w:t>
      </w:r>
      <w:r w:rsidR="00797771" w:rsidRPr="004D4A74">
        <w:rPr>
          <w:b/>
          <w:bCs/>
          <w:lang w:val="vi-VN"/>
        </w:rPr>
        <w:t xml:space="preserve">, </w:t>
      </w:r>
      <w:r w:rsidR="00797771" w:rsidRPr="004D4A74">
        <w:t>Nyquist plots of</w:t>
      </w:r>
      <w:r w:rsidR="00797771" w:rsidRPr="004D4A74">
        <w:rPr>
          <w:lang w:val="vi-VN"/>
        </w:rPr>
        <w:t xml:space="preserve"> activated GHF@</w:t>
      </w:r>
      <w:r w:rsidR="001E624A" w:rsidRPr="004D4A74">
        <w:rPr>
          <w:lang w:val="vi-VN"/>
        </w:rPr>
        <w:t>ZIF-8</w:t>
      </w:r>
      <w:r w:rsidR="00797771" w:rsidRPr="004D4A74">
        <w:t xml:space="preserve"> </w:t>
      </w:r>
      <w:r w:rsidR="00797771" w:rsidRPr="004D4A74">
        <w:rPr>
          <w:lang w:val="vi-VN"/>
        </w:rPr>
        <w:t>(</w:t>
      </w:r>
      <w:r w:rsidR="00797771" w:rsidRPr="004D4A74">
        <w:rPr>
          <w:b/>
          <w:bCs/>
          <w:lang w:val="vi-VN"/>
        </w:rPr>
        <w:t>a</w:t>
      </w:r>
      <w:r w:rsidR="00797771" w:rsidRPr="004D4A74">
        <w:rPr>
          <w:lang w:val="vi-VN"/>
        </w:rPr>
        <w:t xml:space="preserve">) </w:t>
      </w:r>
      <w:r w:rsidR="00797771" w:rsidRPr="004D4A74">
        <w:t>and</w:t>
      </w:r>
      <w:r w:rsidR="00797771" w:rsidRPr="004D4A74">
        <w:rPr>
          <w:lang w:val="vi-VN"/>
        </w:rPr>
        <w:t xml:space="preserve"> GHF@</w:t>
      </w:r>
      <w:r w:rsidR="001E624A" w:rsidRPr="004D4A74">
        <w:rPr>
          <w:lang w:val="vi-VN"/>
        </w:rPr>
        <w:t>HKUST-1</w:t>
      </w:r>
      <w:r w:rsidR="00797771" w:rsidRPr="004D4A74">
        <w:t xml:space="preserve"> </w:t>
      </w:r>
      <w:r w:rsidR="00797771" w:rsidRPr="004D4A74">
        <w:rPr>
          <w:lang w:val="vi-VN"/>
        </w:rPr>
        <w:t>(</w:t>
      </w:r>
      <w:r w:rsidR="00797771" w:rsidRPr="004D4A74">
        <w:rPr>
          <w:b/>
          <w:bCs/>
          <w:lang w:val="vi-VN"/>
        </w:rPr>
        <w:t>b</w:t>
      </w:r>
      <w:r w:rsidR="00797771" w:rsidRPr="004D4A74">
        <w:rPr>
          <w:lang w:val="vi-VN"/>
        </w:rPr>
        <w:t>)</w:t>
      </w:r>
      <w:r w:rsidR="00797771" w:rsidRPr="004D4A74">
        <w:t xml:space="preserve"> </w:t>
      </w:r>
      <w:r w:rsidR="00797771" w:rsidRPr="004D4A74">
        <w:rPr>
          <w:lang w:val="vi-VN"/>
        </w:rPr>
        <w:t xml:space="preserve">at various temperatures from 25 to 70 </w:t>
      </w:r>
      <w:r w:rsidR="00797771" w:rsidRPr="004D4A74">
        <w:rPr>
          <w:vertAlign w:val="superscript"/>
          <w:lang w:val="vi-VN"/>
        </w:rPr>
        <w:t>o</w:t>
      </w:r>
      <w:r w:rsidR="00797771" w:rsidRPr="004D4A74">
        <w:rPr>
          <w:lang w:val="vi-VN"/>
        </w:rPr>
        <w:t>C,</w:t>
      </w:r>
      <w:r w:rsidR="00797771" w:rsidRPr="004D4A74">
        <w:rPr>
          <w:vertAlign w:val="superscript"/>
          <w:lang w:val="vi-VN"/>
        </w:rPr>
        <w:t xml:space="preserve"> </w:t>
      </w:r>
      <w:r w:rsidR="00797771" w:rsidRPr="004D4A74">
        <w:rPr>
          <w:lang w:val="vi-VN"/>
        </w:rPr>
        <w:t xml:space="preserve">and their corresponding </w:t>
      </w:r>
      <w:r w:rsidR="00797771" w:rsidRPr="004D4A74">
        <w:t xml:space="preserve">Arrhenius plots </w:t>
      </w:r>
      <w:r w:rsidR="00797771" w:rsidRPr="004D4A74">
        <w:rPr>
          <w:lang w:val="vi-VN"/>
        </w:rPr>
        <w:t>(</w:t>
      </w:r>
      <w:r w:rsidR="00797771" w:rsidRPr="004D4A74">
        <w:rPr>
          <w:b/>
          <w:bCs/>
        </w:rPr>
        <w:t>c</w:t>
      </w:r>
      <w:r w:rsidR="005F2BEF">
        <w:rPr>
          <w:lang w:val="vi-VN"/>
        </w:rPr>
        <w:t>)</w:t>
      </w:r>
    </w:p>
    <w:p w14:paraId="1208E76E" w14:textId="46BB1B31" w:rsidR="00547197" w:rsidRDefault="00277ACF" w:rsidP="005F2BEF">
      <w:pPr>
        <w:spacing w:before="240" w:after="240"/>
        <w:jc w:val="both"/>
        <w:rPr>
          <w:b/>
          <w:bCs/>
        </w:rPr>
      </w:pPr>
      <w:r w:rsidRPr="00277ACF">
        <w:rPr>
          <w:b/>
          <w:bCs/>
        </w:rPr>
        <w:t>Note S</w:t>
      </w:r>
      <w:r w:rsidR="00524C64" w:rsidRPr="004D4A74">
        <w:rPr>
          <w:b/>
          <w:bCs/>
        </w:rPr>
        <w:t>7 DFT binding energies of MOF-TFSI</w:t>
      </w:r>
      <w:r w:rsidR="00524C64" w:rsidRPr="004D4A74">
        <w:rPr>
          <w:b/>
          <w:bCs/>
          <w:vertAlign w:val="superscript"/>
        </w:rPr>
        <w:t xml:space="preserve">- </w:t>
      </w:r>
      <w:r w:rsidR="00524C64" w:rsidRPr="004D4A74">
        <w:rPr>
          <w:b/>
          <w:bCs/>
        </w:rPr>
        <w:t>and MOF-PC</w:t>
      </w:r>
    </w:p>
    <w:p w14:paraId="5FA15C31" w14:textId="29844E0C" w:rsidR="00547197" w:rsidRDefault="00524C64" w:rsidP="00277ACF">
      <w:pPr>
        <w:spacing w:before="120" w:after="120"/>
        <w:jc w:val="both"/>
      </w:pPr>
      <w:r w:rsidRPr="004D4A74">
        <w:t xml:space="preserve">To elucidate the solvation structures of Li⁺ ions within different MOF nanochannels, we calculated the binding energies of relevant species both inside and outside the MOF pores using density functional theory (DFT). To simplify the simulations, the pore structures of TOH and RDZ were modeled based on the representative pore clusters of HKUST-1 and ZIF-8, respectively (Figs. </w:t>
      </w:r>
      <w:r w:rsidR="00047BC1">
        <w:t>S</w:t>
      </w:r>
      <w:r w:rsidRPr="004D4A74">
        <w:t>6a</w:t>
      </w:r>
      <w:r w:rsidR="00047BC1">
        <w:t xml:space="preserve">, </w:t>
      </w:r>
      <w:r w:rsidRPr="004D4A74">
        <w:rPr>
          <w:lang w:val="vi-VN"/>
        </w:rPr>
        <w:t>b</w:t>
      </w:r>
      <w:r w:rsidRPr="004D4A74">
        <w:t>).</w:t>
      </w:r>
      <w:r w:rsidRPr="004D4A74">
        <w:rPr>
          <w:lang w:val="vi-VN"/>
        </w:rPr>
        <w:t xml:space="preserve"> </w:t>
      </w:r>
      <w:r w:rsidRPr="004D4A74">
        <w:t>In this analysis, Li⁺ ions (purple spheres) were placed either in the external environment (Figs. 4a,d) or confined within MOF pores (Figs. 4b,</w:t>
      </w:r>
      <w:r w:rsidR="00047BC1">
        <w:t xml:space="preserve"> </w:t>
      </w:r>
      <w:r w:rsidRPr="004D4A74">
        <w:t>c,</w:t>
      </w:r>
      <w:r w:rsidR="00047BC1">
        <w:t xml:space="preserve"> </w:t>
      </w:r>
      <w:r w:rsidRPr="004D4A74">
        <w:t>e,</w:t>
      </w:r>
      <w:r w:rsidR="00047BC1">
        <w:t xml:space="preserve"> </w:t>
      </w:r>
      <w:r w:rsidRPr="004D4A74">
        <w:t>f), in the presence of either only TFSI⁻ anions (Figs. 4a–c) or both TFSI⁻ and PC solvent molecules (Figs. 4d–f). In the absence of MOFs (unactivated condition), Li⁺ showed strong interactions with surrounding species, with binding energies of –5</w:t>
      </w:r>
      <w:r w:rsidRPr="004D4A74">
        <w:rPr>
          <w:lang w:val="vi-VN"/>
        </w:rPr>
        <w:t>.689</w:t>
      </w:r>
      <w:r w:rsidRPr="004D4A74">
        <w:t xml:space="preserve"> eV for the Li⁺–TFSI⁻ pair in bulk LiTFSI (Fig. 4a,</w:t>
      </w:r>
      <w:r w:rsidR="00047BC1">
        <w:t xml:space="preserve"> </w:t>
      </w:r>
      <w:r w:rsidRPr="004D4A74">
        <w:t>g), and –6</w:t>
      </w:r>
      <w:r w:rsidRPr="004D4A74">
        <w:rPr>
          <w:lang w:val="vi-VN"/>
        </w:rPr>
        <w:t>.932</w:t>
      </w:r>
      <w:r w:rsidRPr="004D4A74">
        <w:t xml:space="preserve"> eV for Li⁺–TFSI⁻–PC complexes in bulk liquid electrolyte (Fig. 4d,</w:t>
      </w:r>
      <w:r w:rsidR="00047BC1">
        <w:t xml:space="preserve"> </w:t>
      </w:r>
      <w:r w:rsidRPr="004D4A74">
        <w:t>g). Interestingly, when these species were confined within MOF pores, their binding energies significantly decreased (Fig. 4g), indicating that MOFs effectively weaken Li</w:t>
      </w:r>
      <w:r w:rsidRPr="004D4A74">
        <w:rPr>
          <w:vertAlign w:val="superscript"/>
        </w:rPr>
        <w:t>+</w:t>
      </w:r>
      <w:r w:rsidRPr="004D4A74">
        <w:t>-TFSI⁻ and</w:t>
      </w:r>
      <w:r w:rsidRPr="004D4A74">
        <w:rPr>
          <w:lang w:val="vi-VN"/>
        </w:rPr>
        <w:t xml:space="preserve"> </w:t>
      </w:r>
      <w:r w:rsidRPr="004D4A74">
        <w:t>Li</w:t>
      </w:r>
      <w:r w:rsidRPr="004D4A74">
        <w:rPr>
          <w:vertAlign w:val="superscript"/>
        </w:rPr>
        <w:t>+</w:t>
      </w:r>
      <w:r w:rsidRPr="004D4A74">
        <w:t>-PC interactions, thereby facilitating Li</w:t>
      </w:r>
      <w:r w:rsidRPr="004D4A74">
        <w:rPr>
          <w:vertAlign w:val="superscript"/>
        </w:rPr>
        <w:t>+</w:t>
      </w:r>
      <w:r w:rsidRPr="004D4A74">
        <w:t xml:space="preserve"> transport within the pores compared to bulk conditions. This effect is attributed to specific interactions between MOFs</w:t>
      </w:r>
      <w:r w:rsidRPr="004D4A74">
        <w:rPr>
          <w:lang w:val="vi-VN"/>
        </w:rPr>
        <w:t xml:space="preserve">, </w:t>
      </w:r>
      <w:r w:rsidRPr="004D4A74">
        <w:t>particularly open metal sites</w:t>
      </w:r>
      <w:r w:rsidRPr="004D4A74">
        <w:rPr>
          <w:lang w:val="vi-VN"/>
        </w:rPr>
        <w:t xml:space="preserve">, </w:t>
      </w:r>
      <w:r w:rsidRPr="004D4A74">
        <w:t xml:space="preserve">and TFSI⁻ </w:t>
      </w:r>
      <w:r w:rsidRPr="004D4A74">
        <w:rPr>
          <w:lang w:val="vi-VN"/>
        </w:rPr>
        <w:t>(</w:t>
      </w:r>
      <w:r w:rsidRPr="004D4A74">
        <w:t>Figs.</w:t>
      </w:r>
      <w:r w:rsidRPr="004D4A74">
        <w:rPr>
          <w:lang w:val="vi-VN"/>
        </w:rPr>
        <w:t xml:space="preserve"> </w:t>
      </w:r>
      <w:r w:rsidR="00047BC1">
        <w:rPr>
          <w:lang w:val="vi-VN"/>
        </w:rPr>
        <w:t>S</w:t>
      </w:r>
      <w:r w:rsidRPr="004D4A74">
        <w:rPr>
          <w:lang w:val="vi-VN"/>
        </w:rPr>
        <w:t xml:space="preserve">6c-e) </w:t>
      </w:r>
      <w:r w:rsidRPr="004D4A74">
        <w:t>or</w:t>
      </w:r>
      <w:r w:rsidRPr="004D4A74">
        <w:rPr>
          <w:lang w:val="vi-VN"/>
        </w:rPr>
        <w:t xml:space="preserve"> </w:t>
      </w:r>
      <w:r w:rsidRPr="004D4A74">
        <w:t xml:space="preserve">PC </w:t>
      </w:r>
      <w:r w:rsidRPr="004D4A74">
        <w:rPr>
          <w:lang w:val="vi-VN"/>
        </w:rPr>
        <w:t>(</w:t>
      </w:r>
      <w:r w:rsidRPr="004D4A74">
        <w:t xml:space="preserve">Figs. </w:t>
      </w:r>
      <w:r w:rsidR="00047BC1">
        <w:t>S</w:t>
      </w:r>
      <w:r w:rsidRPr="004D4A74">
        <w:t>6f</w:t>
      </w:r>
      <w:r w:rsidR="00047BC1">
        <w:t xml:space="preserve">, </w:t>
      </w:r>
      <w:r w:rsidRPr="004D4A74">
        <w:rPr>
          <w:lang w:val="vi-VN"/>
        </w:rPr>
        <w:t>g</w:t>
      </w:r>
      <w:r w:rsidRPr="004D4A74">
        <w:t>).</w:t>
      </w:r>
      <w:r w:rsidRPr="004D4A74">
        <w:rPr>
          <w:lang w:val="vi-VN"/>
        </w:rPr>
        <w:t xml:space="preserve"> </w:t>
      </w:r>
      <w:r w:rsidRPr="004D4A74">
        <w:t>Simulation</w:t>
      </w:r>
      <w:r w:rsidRPr="004D4A74">
        <w:rPr>
          <w:lang w:val="vi-VN"/>
        </w:rPr>
        <w:t xml:space="preserve"> data</w:t>
      </w:r>
      <w:r w:rsidRPr="004D4A74">
        <w:t xml:space="preserve"> also</w:t>
      </w:r>
      <w:r w:rsidRPr="004D4A74">
        <w:rPr>
          <w:lang w:val="vi-VN"/>
        </w:rPr>
        <w:t xml:space="preserve"> </w:t>
      </w:r>
      <w:r w:rsidRPr="004D4A74">
        <w:t>revealed that the Li</w:t>
      </w:r>
      <w:r w:rsidRPr="004D4A74">
        <w:rPr>
          <w:vertAlign w:val="superscript"/>
        </w:rPr>
        <w:t>+</w:t>
      </w:r>
      <w:r w:rsidRPr="004D4A74">
        <w:t>-TFSI⁻ binding energy within the pores of ZIF-8 (-5.302 eV) was relatively higher than that in HKUST-1 (-4.705 eV) (Figs. 4a,</w:t>
      </w:r>
      <w:r w:rsidR="00047BC1">
        <w:t xml:space="preserve"> </w:t>
      </w:r>
      <w:r w:rsidRPr="004D4A74">
        <w:t>b,</w:t>
      </w:r>
      <w:r w:rsidR="00047BC1">
        <w:t xml:space="preserve"> </w:t>
      </w:r>
      <w:r w:rsidRPr="004D4A74">
        <w:t>g). This finding suggests that Li</w:t>
      </w:r>
      <w:r w:rsidRPr="004D4A74">
        <w:rPr>
          <w:vertAlign w:val="superscript"/>
        </w:rPr>
        <w:t>+</w:t>
      </w:r>
      <w:r w:rsidRPr="004D4A74">
        <w:t xml:space="preserve"> ions interact more strongly with TFSI⁻ within the confined space of ZIF-8, leading to the formation of a de-solvated, crystal-like Li-TFSI structure, as discussed in Fig. 2c. In addition, weaker binding energy between TFSI⁻ and ZIF-8 compared to HKUST-1 was observed (Figs.</w:t>
      </w:r>
      <w:r w:rsidRPr="004D4A74">
        <w:rPr>
          <w:lang w:val="vi-VN"/>
        </w:rPr>
        <w:t xml:space="preserve"> </w:t>
      </w:r>
      <w:r w:rsidR="00047BC1">
        <w:rPr>
          <w:lang w:val="vi-VN"/>
        </w:rPr>
        <w:t>S</w:t>
      </w:r>
      <w:r w:rsidRPr="004D4A74">
        <w:rPr>
          <w:lang w:val="vi-VN"/>
        </w:rPr>
        <w:t>6c-e</w:t>
      </w:r>
      <w:r w:rsidRPr="004D4A74">
        <w:t>), likely due to hydrogen shielding effects near Zn²⁺ sites. This further enhances the interactions between Li</w:t>
      </w:r>
      <w:r w:rsidRPr="004D4A74">
        <w:rPr>
          <w:vertAlign w:val="superscript"/>
        </w:rPr>
        <w:t>+</w:t>
      </w:r>
      <w:r w:rsidRPr="004D4A74">
        <w:t xml:space="preserve"> and TFSI⁻ within ZIF-8 pores.</w:t>
      </w:r>
      <w:r w:rsidRPr="004D4A74">
        <w:rPr>
          <w:lang w:val="vi-VN"/>
        </w:rPr>
        <w:t xml:space="preserve"> </w:t>
      </w:r>
      <w:r w:rsidRPr="004D4A74">
        <w:t>Upon introducing PC solvent molecules, the total binding energy of Li</w:t>
      </w:r>
      <w:r w:rsidRPr="004D4A74">
        <w:rPr>
          <w:vertAlign w:val="superscript"/>
        </w:rPr>
        <w:t>+</w:t>
      </w:r>
      <w:r w:rsidRPr="004D4A74">
        <w:t xml:space="preserve"> within MOF pores increased. Specifically, the Li</w:t>
      </w:r>
      <w:r w:rsidRPr="004D4A74">
        <w:rPr>
          <w:vertAlign w:val="superscript"/>
        </w:rPr>
        <w:t>+</w:t>
      </w:r>
      <w:r w:rsidRPr="004D4A74">
        <w:t xml:space="preserve"> binding energy in the HKUST-1 pore increased by more than 20% (from -4.705 to -5.655 eV), whereas in the ZIF-8 pore, it increased by only 18% (from -5.302 to -6.274 eV). This indicates a stronger affinity of PC for Li</w:t>
      </w:r>
      <w:r w:rsidRPr="004D4A74">
        <w:rPr>
          <w:vertAlign w:val="superscript"/>
        </w:rPr>
        <w:t>+</w:t>
      </w:r>
      <w:r w:rsidRPr="004D4A74">
        <w:t xml:space="preserve"> in HKUST-1 pores than in ZIF-8 pores, promoting the formation of a solvated Li</w:t>
      </w:r>
      <w:r w:rsidRPr="004D4A74">
        <w:rPr>
          <w:vertAlign w:val="superscript"/>
        </w:rPr>
        <w:t>+</w:t>
      </w:r>
      <w:r w:rsidRPr="004D4A74">
        <w:t xml:space="preserve"> structure in the larger pores of HKUST-1. </w:t>
      </w:r>
      <w:r w:rsidRPr="004D4A74">
        <w:rPr>
          <w:lang w:val="vi-VN"/>
        </w:rPr>
        <w:t xml:space="preserve"> </w:t>
      </w:r>
      <w:r w:rsidRPr="004D4A74">
        <w:t>Furthermore, simulations of individual PC solvent molecules within MOF pores revealed stronger PC-MOF interactions in ZIF-8 than in HKUST-1</w:t>
      </w:r>
      <w:r w:rsidRPr="004D4A74">
        <w:rPr>
          <w:lang w:val="vi-VN"/>
        </w:rPr>
        <w:t xml:space="preserve"> (</w:t>
      </w:r>
      <w:r w:rsidRPr="004D4A74">
        <w:t xml:space="preserve">Figs. </w:t>
      </w:r>
      <w:r w:rsidR="00E73FEE">
        <w:t>S</w:t>
      </w:r>
      <w:r w:rsidRPr="004D4A74">
        <w:t>6f</w:t>
      </w:r>
      <w:r w:rsidR="00E73FEE">
        <w:t xml:space="preserve">, </w:t>
      </w:r>
      <w:r w:rsidRPr="004D4A74">
        <w:rPr>
          <w:lang w:val="vi-VN"/>
        </w:rPr>
        <w:t>g</w:t>
      </w:r>
      <w:r w:rsidRPr="004D4A74">
        <w:t>). This not only facilitates Li</w:t>
      </w:r>
      <w:r w:rsidRPr="004D4A74">
        <w:rPr>
          <w:vertAlign w:val="superscript"/>
        </w:rPr>
        <w:t>+</w:t>
      </w:r>
      <w:r w:rsidRPr="004D4A74">
        <w:t xml:space="preserve"> de-solvation within the small pores of ZIF-8 but also prevents solvent leakage from the porous structure. As a result, ZIF-8-based QSSEs exhibit improved thermal stability but reduced electrode wettability. Conversely, QSSEs based on HKUST-1, with a predominantly solvated Li</w:t>
      </w:r>
      <w:r w:rsidRPr="004D4A74">
        <w:rPr>
          <w:vertAlign w:val="superscript"/>
        </w:rPr>
        <w:t>+</w:t>
      </w:r>
      <w:r w:rsidRPr="004D4A74">
        <w:t xml:space="preserve"> structure in its large pores and weaker PC-MOF interactions, offer better electrode wettability, thereby reducing electrolyte/electrode interfacial resistance at the cost of lower thermal stability. Based on these binding energy simulations, detailed solvation and de-solvation structures of Li</w:t>
      </w:r>
      <w:r w:rsidRPr="004D4A74">
        <w:rPr>
          <w:vertAlign w:val="superscript"/>
        </w:rPr>
        <w:t>+</w:t>
      </w:r>
      <w:r w:rsidRPr="004D4A74">
        <w:t xml:space="preserve"> in different MOF pore architectures are illustrated in Fig. 4h.</w:t>
      </w:r>
    </w:p>
    <w:p w14:paraId="1D08A2E3" w14:textId="77777777" w:rsidR="005F2BEF" w:rsidRDefault="005F2BEF" w:rsidP="00277ACF">
      <w:pPr>
        <w:spacing w:before="120" w:after="120"/>
        <w:jc w:val="both"/>
        <w:rPr>
          <w:b/>
          <w:bCs/>
        </w:rPr>
      </w:pPr>
    </w:p>
    <w:p w14:paraId="4E9A4901" w14:textId="77777777" w:rsidR="00547197" w:rsidRDefault="00797771" w:rsidP="00277ACF">
      <w:pPr>
        <w:spacing w:before="120" w:after="120"/>
        <w:rPr>
          <w:rFonts w:eastAsia="Times New Roman"/>
        </w:rPr>
      </w:pPr>
      <w:r w:rsidRPr="004D4A74">
        <w:rPr>
          <w:rFonts w:eastAsia="Times New Roman"/>
          <w:noProof/>
          <w:lang w:val="en-IN" w:eastAsia="en-IN"/>
        </w:rPr>
        <w:drawing>
          <wp:inline distT="0" distB="0" distL="0" distR="0" wp14:anchorId="7C71DCD6" wp14:editId="1CB00B84">
            <wp:extent cx="5688991" cy="4085377"/>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5342"/>
                    <a:stretch/>
                  </pic:blipFill>
                  <pic:spPr bwMode="auto">
                    <a:xfrm>
                      <a:off x="0" y="0"/>
                      <a:ext cx="5702575" cy="4095132"/>
                    </a:xfrm>
                    <a:prstGeom prst="rect">
                      <a:avLst/>
                    </a:prstGeom>
                    <a:noFill/>
                    <a:ln>
                      <a:noFill/>
                    </a:ln>
                    <a:extLst>
                      <a:ext uri="{53640926-AAD7-44D8-BBD7-CCE9431645EC}">
                        <a14:shadowObscured xmlns:a14="http://schemas.microsoft.com/office/drawing/2010/main"/>
                      </a:ext>
                    </a:extLst>
                  </pic:spPr>
                </pic:pic>
              </a:graphicData>
            </a:graphic>
          </wp:inline>
        </w:drawing>
      </w:r>
    </w:p>
    <w:p w14:paraId="7320AA32" w14:textId="43D555B0" w:rsidR="00547197" w:rsidRDefault="005F2BEF" w:rsidP="00277ACF">
      <w:pPr>
        <w:spacing w:before="120" w:after="120"/>
        <w:jc w:val="both"/>
        <w:rPr>
          <w:lang w:val="vi-VN"/>
        </w:rPr>
      </w:pPr>
      <w:r>
        <w:rPr>
          <w:b/>
          <w:bCs/>
        </w:rPr>
        <w:t>Fig. S</w:t>
      </w:r>
      <w:r w:rsidR="00E02CD9" w:rsidRPr="004D4A74">
        <w:rPr>
          <w:b/>
          <w:bCs/>
        </w:rPr>
        <w:t>6</w:t>
      </w:r>
      <w:r w:rsidR="00797771" w:rsidRPr="004D4A74">
        <w:rPr>
          <w:b/>
          <w:bCs/>
          <w:lang w:val="vi-VN"/>
        </w:rPr>
        <w:t xml:space="preserve"> a,</w:t>
      </w:r>
      <w:r>
        <w:rPr>
          <w:b/>
          <w:bCs/>
          <w:lang w:val="vi-VN"/>
        </w:rPr>
        <w:t xml:space="preserve"> </w:t>
      </w:r>
      <w:r w:rsidR="00797771" w:rsidRPr="004D4A74">
        <w:rPr>
          <w:b/>
          <w:bCs/>
          <w:lang w:val="vi-VN"/>
        </w:rPr>
        <w:t xml:space="preserve">b </w:t>
      </w:r>
      <w:r w:rsidR="00797771" w:rsidRPr="004D4A74">
        <w:t>Cluster structures of HKUST-1 (</w:t>
      </w:r>
      <w:r w:rsidR="00797771" w:rsidRPr="004D4A74">
        <w:rPr>
          <w:b/>
          <w:bCs/>
        </w:rPr>
        <w:t>a</w:t>
      </w:r>
      <w:r w:rsidR="00797771" w:rsidRPr="004D4A74">
        <w:t>) and ZIF-8 (</w:t>
      </w:r>
      <w:r w:rsidR="00797771" w:rsidRPr="004D4A74">
        <w:rPr>
          <w:b/>
          <w:bCs/>
        </w:rPr>
        <w:t>b</w:t>
      </w:r>
      <w:r w:rsidR="00797771" w:rsidRPr="004D4A74">
        <w:t>).</w:t>
      </w:r>
      <w:r w:rsidR="00797771" w:rsidRPr="004D4A74">
        <w:rPr>
          <w:b/>
          <w:bCs/>
        </w:rPr>
        <w:t xml:space="preserve"> c</w:t>
      </w:r>
      <w:r w:rsidR="00797771" w:rsidRPr="004D4A74">
        <w:rPr>
          <w:lang w:val="vi-VN"/>
        </w:rPr>
        <w:t xml:space="preserve">, </w:t>
      </w:r>
      <w:r w:rsidR="00797771" w:rsidRPr="004D4A74">
        <w:t>Binding energy of TFSI</w:t>
      </w:r>
      <w:r w:rsidR="00797771" w:rsidRPr="004D4A74">
        <w:rPr>
          <w:vertAlign w:val="superscript"/>
        </w:rPr>
        <w:t>−</w:t>
      </w:r>
      <w:r w:rsidR="00797771" w:rsidRPr="004D4A74">
        <w:t> anion</w:t>
      </w:r>
      <w:r w:rsidR="00797771" w:rsidRPr="004D4A74">
        <w:rPr>
          <w:lang w:val="vi-VN"/>
        </w:rPr>
        <w:t xml:space="preserve"> with different MOFs.</w:t>
      </w:r>
      <w:r w:rsidR="00797771" w:rsidRPr="004D4A74">
        <w:rPr>
          <w:b/>
          <w:bCs/>
          <w:lang w:val="vi-VN"/>
        </w:rPr>
        <w:t xml:space="preserve"> </w:t>
      </w:r>
      <w:r w:rsidR="00797771" w:rsidRPr="004D4A74">
        <w:rPr>
          <w:b/>
          <w:bCs/>
        </w:rPr>
        <w:t>d</w:t>
      </w:r>
      <w:r w:rsidR="00797771" w:rsidRPr="004D4A74">
        <w:rPr>
          <w:lang w:val="vi-VN"/>
        </w:rPr>
        <w:t>,</w:t>
      </w:r>
      <w:r w:rsidR="00797771" w:rsidRPr="004D4A74">
        <w:rPr>
          <w:b/>
          <w:bCs/>
        </w:rPr>
        <w:t>e</w:t>
      </w:r>
      <w:r w:rsidR="00797771" w:rsidRPr="004D4A74">
        <w:t xml:space="preserve">, Simulation snapshots of </w:t>
      </w:r>
      <w:r w:rsidR="00797771" w:rsidRPr="004D4A74">
        <w:rPr>
          <w:lang w:val="vi-VN"/>
        </w:rPr>
        <w:t xml:space="preserve">TFSI⁻ and </w:t>
      </w:r>
      <w:r w:rsidR="00797771" w:rsidRPr="004D4A74">
        <w:rPr>
          <w:rStyle w:val="mjxassistivemathml"/>
          <w:bdr w:val="none" w:sz="0" w:space="0" w:color="auto" w:frame="1"/>
        </w:rPr>
        <w:t>Li</w:t>
      </w:r>
      <w:r w:rsidR="00797771" w:rsidRPr="004D4A74">
        <w:rPr>
          <w:rStyle w:val="mjxassistivemathml"/>
          <w:bdr w:val="none" w:sz="0" w:space="0" w:color="auto" w:frame="1"/>
          <w:vertAlign w:val="superscript"/>
        </w:rPr>
        <w:t>+</w:t>
      </w:r>
      <w:r w:rsidR="00797771" w:rsidRPr="004D4A74">
        <w:t> ions in</w:t>
      </w:r>
      <w:r w:rsidR="00797771" w:rsidRPr="004D4A74">
        <w:rPr>
          <w:lang w:val="vi-VN"/>
        </w:rPr>
        <w:t xml:space="preserve"> the pore of </w:t>
      </w:r>
      <w:r w:rsidR="00797771" w:rsidRPr="004D4A74">
        <w:t>HKUST-1</w:t>
      </w:r>
      <w:r w:rsidR="00797771" w:rsidRPr="004D4A74">
        <w:rPr>
          <w:lang w:val="vi-VN"/>
        </w:rPr>
        <w:t xml:space="preserve"> (</w:t>
      </w:r>
      <w:r w:rsidR="00797771" w:rsidRPr="004D4A74">
        <w:rPr>
          <w:b/>
          <w:bCs/>
        </w:rPr>
        <w:t>d</w:t>
      </w:r>
      <w:r w:rsidR="00797771" w:rsidRPr="004D4A74">
        <w:rPr>
          <w:lang w:val="vi-VN"/>
        </w:rPr>
        <w:t xml:space="preserve">) and </w:t>
      </w:r>
      <w:r w:rsidR="00797771" w:rsidRPr="004D4A74">
        <w:t>ZIF-8</w:t>
      </w:r>
      <w:r w:rsidR="00797771" w:rsidRPr="004D4A74">
        <w:rPr>
          <w:lang w:val="vi-VN"/>
        </w:rPr>
        <w:t xml:space="preserve"> (</w:t>
      </w:r>
      <w:r w:rsidR="00797771" w:rsidRPr="004D4A74">
        <w:rPr>
          <w:b/>
          <w:bCs/>
        </w:rPr>
        <w:t>e</w:t>
      </w:r>
      <w:r w:rsidR="00797771" w:rsidRPr="004D4A74">
        <w:rPr>
          <w:lang w:val="vi-VN"/>
        </w:rPr>
        <w:t>).</w:t>
      </w:r>
      <w:r w:rsidR="00797771" w:rsidRPr="004D4A74">
        <w:t xml:space="preserve"> </w:t>
      </w:r>
      <w:r w:rsidR="00797771" w:rsidRPr="004D4A74">
        <w:rPr>
          <w:b/>
          <w:bCs/>
        </w:rPr>
        <w:t>f</w:t>
      </w:r>
      <w:r w:rsidR="00797771" w:rsidRPr="004D4A74">
        <w:t>,</w:t>
      </w:r>
      <w:r w:rsidR="00797771" w:rsidRPr="004D4A74">
        <w:rPr>
          <w:b/>
          <w:bCs/>
        </w:rPr>
        <w:t>g</w:t>
      </w:r>
      <w:r w:rsidR="00797771" w:rsidRPr="004D4A74">
        <w:t>, Simulation snapshots and b</w:t>
      </w:r>
      <w:r w:rsidR="00797771" w:rsidRPr="004D4A74">
        <w:rPr>
          <w:lang w:val="vi-VN"/>
        </w:rPr>
        <w:t xml:space="preserve">inding energy </w:t>
      </w:r>
      <w:r w:rsidR="00797771" w:rsidRPr="004D4A74">
        <w:t xml:space="preserve">of </w:t>
      </w:r>
      <w:r w:rsidR="00797771" w:rsidRPr="004D4A74">
        <w:rPr>
          <w:lang w:val="vi-VN"/>
        </w:rPr>
        <w:t>confined</w:t>
      </w:r>
      <w:r w:rsidR="00797771" w:rsidRPr="004D4A74">
        <w:t xml:space="preserve"> </w:t>
      </w:r>
      <w:r w:rsidR="00797771" w:rsidRPr="004D4A74">
        <w:rPr>
          <w:lang w:val="vi-VN"/>
        </w:rPr>
        <w:t xml:space="preserve">PC </w:t>
      </w:r>
      <w:r w:rsidR="00797771" w:rsidRPr="004D4A74">
        <w:t>molecule</w:t>
      </w:r>
      <w:r w:rsidR="00797771" w:rsidRPr="004D4A74">
        <w:rPr>
          <w:lang w:val="vi-VN"/>
        </w:rPr>
        <w:t xml:space="preserve"> </w:t>
      </w:r>
      <w:r w:rsidR="00797771" w:rsidRPr="004D4A74">
        <w:t>in</w:t>
      </w:r>
      <w:r w:rsidR="00797771" w:rsidRPr="004D4A74">
        <w:rPr>
          <w:lang w:val="vi-VN"/>
        </w:rPr>
        <w:t xml:space="preserve"> the pore of HKUST-1</w:t>
      </w:r>
      <w:r w:rsidR="00797771" w:rsidRPr="004D4A74">
        <w:t xml:space="preserve"> </w:t>
      </w:r>
      <w:r w:rsidR="00797771" w:rsidRPr="004D4A74">
        <w:rPr>
          <w:lang w:val="vi-VN"/>
        </w:rPr>
        <w:t>(</w:t>
      </w:r>
      <w:r w:rsidR="00797771" w:rsidRPr="004D4A74">
        <w:rPr>
          <w:b/>
          <w:bCs/>
        </w:rPr>
        <w:t>f</w:t>
      </w:r>
      <w:r w:rsidR="00797771" w:rsidRPr="004D4A74">
        <w:rPr>
          <w:lang w:val="vi-VN"/>
        </w:rPr>
        <w:t xml:space="preserve">) </w:t>
      </w:r>
      <w:r w:rsidR="00797771" w:rsidRPr="004D4A74">
        <w:t xml:space="preserve">and </w:t>
      </w:r>
      <w:r w:rsidR="00797771" w:rsidRPr="004D4A74">
        <w:rPr>
          <w:lang w:val="vi-VN"/>
        </w:rPr>
        <w:t>ZIF-8</w:t>
      </w:r>
      <w:r w:rsidR="00797771" w:rsidRPr="004D4A74">
        <w:t xml:space="preserve"> </w:t>
      </w:r>
      <w:r w:rsidR="00797771" w:rsidRPr="004D4A74">
        <w:rPr>
          <w:lang w:val="vi-VN"/>
        </w:rPr>
        <w:t>(</w:t>
      </w:r>
      <w:r w:rsidR="00797771" w:rsidRPr="004D4A74">
        <w:rPr>
          <w:b/>
          <w:bCs/>
        </w:rPr>
        <w:t>g</w:t>
      </w:r>
      <w:r>
        <w:rPr>
          <w:lang w:val="vi-VN"/>
        </w:rPr>
        <w:t>)</w:t>
      </w:r>
    </w:p>
    <w:p w14:paraId="7DDD1E8A" w14:textId="678CB21A" w:rsidR="00547197" w:rsidRDefault="00277ACF" w:rsidP="00E73FEE">
      <w:pPr>
        <w:spacing w:before="240" w:after="240"/>
        <w:jc w:val="both"/>
        <w:rPr>
          <w:b/>
          <w:bCs/>
          <w:lang w:val="vi-VN"/>
        </w:rPr>
      </w:pPr>
      <w:r w:rsidRPr="00277ACF">
        <w:rPr>
          <w:b/>
          <w:bCs/>
        </w:rPr>
        <w:t>Note S</w:t>
      </w:r>
      <w:r w:rsidR="00524C64" w:rsidRPr="004D4A74">
        <w:rPr>
          <w:b/>
          <w:bCs/>
        </w:rPr>
        <w:t>8 MD simulations</w:t>
      </w:r>
      <w:r w:rsidR="00524C64" w:rsidRPr="004D4A74">
        <w:rPr>
          <w:b/>
          <w:bCs/>
          <w:lang w:val="vi-VN"/>
        </w:rPr>
        <w:t xml:space="preserve"> of ionic</w:t>
      </w:r>
      <w:r w:rsidR="005F2BEF">
        <w:rPr>
          <w:b/>
          <w:bCs/>
          <w:lang w:val="vi-VN"/>
        </w:rPr>
        <w:t xml:space="preserve"> dynamics in 1D MOF-based QSSEs</w:t>
      </w:r>
    </w:p>
    <w:p w14:paraId="05AA13E9" w14:textId="1DAA2647" w:rsidR="00547197" w:rsidRDefault="00524C64" w:rsidP="00277ACF">
      <w:pPr>
        <w:spacing w:before="120" w:after="120"/>
        <w:jc w:val="both"/>
      </w:pPr>
      <w:r w:rsidRPr="004D4A74">
        <w:t>To investigate the solvation structures and ion transport behavior of Li⁺ ions within the pores of HKUST-1 and ZIF-8 at the atomistic level, we further performed advanced</w:t>
      </w:r>
      <w:r w:rsidRPr="004D4A74">
        <w:rPr>
          <w:lang w:val="vi-VN"/>
        </w:rPr>
        <w:t xml:space="preserve"> </w:t>
      </w:r>
      <w:r w:rsidRPr="004D4A74">
        <w:t>molecular dynamics (MD) simulations</w:t>
      </w:r>
      <w:r w:rsidRPr="004D4A74">
        <w:rPr>
          <w:lang w:val="vi-VN"/>
        </w:rPr>
        <w:t xml:space="preserve">. </w:t>
      </w:r>
      <w:r w:rsidRPr="004D4A74">
        <w:t>Our</w:t>
      </w:r>
      <w:r w:rsidRPr="004D4A74">
        <w:rPr>
          <w:lang w:val="vi-VN"/>
        </w:rPr>
        <w:t xml:space="preserve"> MD</w:t>
      </w:r>
      <w:r w:rsidRPr="004D4A74">
        <w:t xml:space="preserve"> simulations employed the Preferred Potential (PFP), a universal neural network potential (UNNP) trained on an extensive DFT dataset covering 96 elemental combinations</w:t>
      </w:r>
      <w:r w:rsidRPr="004D4A74">
        <w:rPr>
          <w:lang w:val="vi-VN"/>
        </w:rPr>
        <w:t xml:space="preserve"> </w:t>
      </w:r>
      <w:sdt>
        <w:sdtPr>
          <w:rPr>
            <w:color w:val="000000"/>
          </w:rPr>
          <w:tag w:val="MENDELEY_CITATION_v3_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"/>
          <w:id w:val="-1241794243"/>
          <w:placeholder>
            <w:docPart w:val="AE8EA7E9005745EB870869DF1208172D"/>
          </w:placeholder>
        </w:sdtPr>
        <w:sdtEndPr/>
        <w:sdtContent>
          <w:r w:rsidRPr="004D4A74">
            <w:rPr>
              <w:color w:val="000000"/>
            </w:rPr>
            <w:t>[</w:t>
          </w:r>
          <w:r w:rsidR="005F2BEF">
            <w:rPr>
              <w:color w:val="000000"/>
            </w:rPr>
            <w:t>S</w:t>
          </w:r>
          <w:r w:rsidRPr="004D4A74">
            <w:rPr>
              <w:color w:val="000000"/>
            </w:rPr>
            <w:t>18]</w:t>
          </w:r>
        </w:sdtContent>
      </w:sdt>
      <w:r w:rsidRPr="004D4A74">
        <w:rPr>
          <w:lang w:val="vi-VN"/>
        </w:rPr>
        <w:t xml:space="preserve">. </w:t>
      </w:r>
      <w:r w:rsidRPr="004D4A74">
        <w:t>Built upon a deep learning architecture, this potential enables accurate modeling of complex interactions between inorganic metal nodes and organic ligands, offering excellent generalizability and precision across chemically diverse systems</w:t>
      </w:r>
      <w:sdt>
        <w:sdtPr>
          <w:rPr>
            <w:color w:val="000000"/>
          </w:rPr>
          <w:tag w:val="MENDELEY_CITATION_v3_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"/>
          <w:id w:val="-968813323"/>
          <w:placeholder>
            <w:docPart w:val="AE8EA7E9005745EB870869DF1208172D"/>
          </w:placeholder>
        </w:sdtPr>
        <w:sdtEndPr/>
        <w:sdtContent>
          <w:r w:rsidRPr="004D4A74">
            <w:rPr>
              <w:color w:val="000000"/>
              <w:lang w:val="vi-VN"/>
            </w:rPr>
            <w:t xml:space="preserve"> </w:t>
          </w:r>
          <w:r w:rsidRPr="004D4A74">
            <w:rPr>
              <w:color w:val="000000"/>
            </w:rPr>
            <w:t>[</w:t>
          </w:r>
          <w:r w:rsidR="005F2BEF">
            <w:rPr>
              <w:color w:val="000000"/>
            </w:rPr>
            <w:t>S</w:t>
          </w:r>
          <w:r w:rsidRPr="004D4A74">
            <w:rPr>
              <w:color w:val="000000"/>
            </w:rPr>
            <w:t>19]</w:t>
          </w:r>
        </w:sdtContent>
      </w:sdt>
      <w:r w:rsidRPr="004D4A74">
        <w:rPr>
          <w:lang w:val="vi-VN"/>
        </w:rPr>
        <w:t xml:space="preserve">. </w:t>
      </w:r>
      <w:r w:rsidRPr="004D4A74">
        <w:t>Such interactions are often inadequately described by conventional classical force fields such as EAM</w:t>
      </w:r>
      <w:sdt>
        <w:sdtPr>
          <w:rPr>
            <w:color w:val="000000"/>
          </w:rPr>
          <w:tag w:val="MENDELEY_CITATION_v3_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"/>
          <w:id w:val="893545385"/>
          <w:placeholder>
            <w:docPart w:val="AE8EA7E9005745EB870869DF1208172D"/>
          </w:placeholder>
        </w:sdtPr>
        <w:sdtEndPr/>
        <w:sdtContent>
          <w:r w:rsidRPr="004D4A74">
            <w:rPr>
              <w:color w:val="000000"/>
              <w:lang w:val="vi-VN"/>
            </w:rPr>
            <w:t xml:space="preserve"> </w:t>
          </w:r>
          <w:r w:rsidRPr="004D4A74">
            <w:rPr>
              <w:color w:val="000000"/>
            </w:rPr>
            <w:t>[</w:t>
          </w:r>
          <w:r w:rsidR="005F2BEF">
            <w:rPr>
              <w:color w:val="000000"/>
            </w:rPr>
            <w:t>S</w:t>
          </w:r>
          <w:r w:rsidRPr="004D4A74">
            <w:rPr>
              <w:color w:val="000000"/>
            </w:rPr>
            <w:t>20]</w:t>
          </w:r>
        </w:sdtContent>
      </w:sdt>
      <w:r w:rsidRPr="004D4A74">
        <w:t xml:space="preserve"> or the Tersoff potential</w:t>
      </w:r>
      <w:r w:rsidRPr="004D4A74">
        <w:rPr>
          <w:lang w:val="vi-VN"/>
        </w:rPr>
        <w:t xml:space="preserve"> </w:t>
      </w:r>
      <w:sdt>
        <w:sdtPr>
          <w:rPr>
            <w:color w:val="000000"/>
          </w:rPr>
          <w:tag w:val="MENDELEY_CITATION_v3_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"/>
          <w:id w:val="-1900432989"/>
          <w:placeholder>
            <w:docPart w:val="AE8EA7E9005745EB870869DF1208172D"/>
          </w:placeholder>
        </w:sdtPr>
        <w:sdtEndPr/>
        <w:sdtContent>
          <w:r w:rsidRPr="004D4A74">
            <w:rPr>
              <w:color w:val="000000"/>
            </w:rPr>
            <w:t>[</w:t>
          </w:r>
          <w:r w:rsidR="005F2BEF">
            <w:rPr>
              <w:color w:val="000000"/>
            </w:rPr>
            <w:t>S</w:t>
          </w:r>
          <w:r w:rsidRPr="004D4A74">
            <w:rPr>
              <w:color w:val="000000"/>
            </w:rPr>
            <w:t>21]</w:t>
          </w:r>
        </w:sdtContent>
      </w:sdt>
      <w:r w:rsidRPr="004D4A74">
        <w:t>. Although reactive models like ReaxFF</w:t>
      </w:r>
      <w:r w:rsidRPr="004D4A74">
        <w:rPr>
          <w:lang w:val="vi-VN"/>
        </w:rPr>
        <w:t xml:space="preserve"> </w:t>
      </w:r>
      <w:sdt>
        <w:sdtPr>
          <w:rPr>
            <w:color w:val="000000"/>
          </w:rPr>
          <w:tag w:val="MENDELEY_CITATION_v3_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"/>
          <w:id w:val="632210210"/>
          <w:placeholder>
            <w:docPart w:val="AE8EA7E9005745EB870869DF1208172D"/>
          </w:placeholder>
        </w:sdtPr>
        <w:sdtEndPr/>
        <w:sdtContent>
          <w:r w:rsidRPr="004D4A74">
            <w:rPr>
              <w:color w:val="000000"/>
            </w:rPr>
            <w:t>[</w:t>
          </w:r>
          <w:r w:rsidR="005F2BEF">
            <w:rPr>
              <w:color w:val="000000"/>
            </w:rPr>
            <w:t>S</w:t>
          </w:r>
          <w:r w:rsidRPr="004D4A74">
            <w:rPr>
              <w:color w:val="000000"/>
            </w:rPr>
            <w:t>22]</w:t>
          </w:r>
        </w:sdtContent>
      </w:sdt>
      <w:r w:rsidRPr="004D4A74">
        <w:t xml:space="preserve"> are capable of simulating bond formation and breaking, their application to complex systems often requires high computational cost and extensive system-specific parameter tuning. This approach is particularly valuable in metal–organic frameworks (MOFs), where the diversity of coordination environments and complex electrostatics pose a significant challenge for predefined empirical potentials</w:t>
      </w:r>
      <w:r w:rsidRPr="004D4A74">
        <w:rPr>
          <w:lang w:val="vi-VN"/>
        </w:rPr>
        <w:t xml:space="preserve"> </w:t>
      </w:r>
      <w:sdt>
        <w:sdtPr>
          <w:rPr>
            <w:color w:val="000000"/>
          </w:rPr>
          <w:tag w:val="MENDELEY_CITATION_v3_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"/>
          <w:id w:val="1437178573"/>
          <w:placeholder>
            <w:docPart w:val="9CBEE7EFDBBF41C9AAB99171C438D139"/>
          </w:placeholder>
        </w:sdtPr>
        <w:sdtEndPr/>
        <w:sdtContent>
          <w:r w:rsidRPr="004D4A74">
            <w:rPr>
              <w:color w:val="000000"/>
            </w:rPr>
            <w:t>[</w:t>
          </w:r>
          <w:r w:rsidR="005F2BEF">
            <w:rPr>
              <w:color w:val="000000"/>
            </w:rPr>
            <w:t>S</w:t>
          </w:r>
          <w:r w:rsidRPr="004D4A74">
            <w:rPr>
              <w:color w:val="000000"/>
            </w:rPr>
            <w:t>23]</w:t>
          </w:r>
        </w:sdtContent>
      </w:sdt>
      <w:r w:rsidRPr="004D4A74">
        <w:t>. By leveraging UNNP, we ensured that subtle interactions, including polarization and metal–solvent affinities, were faithfully captured at near-DFT accuracy</w:t>
      </w:r>
      <w:r w:rsidRPr="004D4A74">
        <w:rPr>
          <w:lang w:val="vi-VN"/>
        </w:rPr>
        <w:t xml:space="preserve"> </w:t>
      </w:r>
      <w:sdt>
        <w:sdtPr>
          <w:rPr>
            <w:color w:val="000000"/>
          </w:rPr>
          <w:tag w:val="MENDELEY_CITATION_v3_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"/>
          <w:id w:val="305672515"/>
          <w:placeholder>
            <w:docPart w:val="9CBEE7EFDBBF41C9AAB99171C438D139"/>
          </w:placeholder>
        </w:sdtPr>
        <w:sdtEndPr/>
        <w:sdtContent>
          <w:r w:rsidRPr="004D4A74">
            <w:rPr>
              <w:color w:val="000000"/>
            </w:rPr>
            <w:t>[</w:t>
          </w:r>
          <w:r w:rsidR="005F2BEF">
            <w:rPr>
              <w:color w:val="000000"/>
            </w:rPr>
            <w:t>S</w:t>
          </w:r>
          <w:r w:rsidRPr="004D4A74">
            <w:rPr>
              <w:color w:val="000000"/>
            </w:rPr>
            <w:t>19]</w:t>
          </w:r>
        </w:sdtContent>
      </w:sdt>
      <w:r w:rsidRPr="004D4A74">
        <w:t>. As such, this simulation protocol represents the most eliable approximation available to connect first-principles energetics with mesoscale dynamics, thereby closely reflecting the real behavior observed in experiments.</w:t>
      </w:r>
    </w:p>
    <w:p w14:paraId="3B0317B6" w14:textId="77777777" w:rsidR="00547197" w:rsidRDefault="00524C64" w:rsidP="00277ACF">
      <w:pPr>
        <w:spacing w:before="120" w:after="120"/>
        <w:jc w:val="both"/>
        <w:rPr>
          <w:lang w:val="vi-VN"/>
        </w:rPr>
      </w:pPr>
      <w:r w:rsidRPr="004D4A74">
        <w:rPr>
          <w:lang w:val="vi-VN"/>
        </w:rPr>
        <w:t xml:space="preserve">The </w:t>
      </w:r>
      <w:r w:rsidRPr="004D4A74">
        <w:t>snapshots of the simulated systems</w:t>
      </w:r>
      <w:r w:rsidRPr="004D4A74">
        <w:rPr>
          <w:lang w:val="vi-VN"/>
        </w:rPr>
        <w:t xml:space="preserve"> in Fig. 4i </w:t>
      </w:r>
      <w:r w:rsidRPr="004D4A74">
        <w:t>exhibit marked differences in the local environment of Li⁺ in the two MOFs. In HKUST-1, the large cavities and open Cu²⁺ sites facilitate deep penetration of PC molecules, which exhibit a strong affinity for the framework through favorable electrostatic and coordinative interactions. Consequently, Li⁺ is stabilized in a solvated configuration and experiences only weak perturbation from the framework.</w:t>
      </w:r>
      <w:r w:rsidRPr="004D4A74">
        <w:rPr>
          <w:lang w:val="vi-VN"/>
        </w:rPr>
        <w:t xml:space="preserve"> In contrast, ZIF-8’s smaller pore window significantly impedes solvent accessibility. In addition, </w:t>
      </w:r>
      <w:r w:rsidRPr="004D4A74">
        <w:t>ZIF-8 shows a stronger tendency toward Li⁺–TFSI⁻ pairing and reduced solvation due to its more confined geometry and stronger electrostatic field, consistent with the formation of a de-solvated, crystal-like Li-TFSI complex predicted from DFT results.</w:t>
      </w:r>
      <w:r w:rsidRPr="004D4A74">
        <w:rPr>
          <w:lang w:val="vi-VN"/>
        </w:rPr>
        <w:t xml:space="preserve"> As a result, Li⁺ in ZIF-8 predominantly adopts a desolvated coordination state. This desolvated state reduces the energy barrier associated with solvation shell reorganization during ion migration and supports a more efficient site-to-site hopping mechanism.</w:t>
      </w:r>
    </w:p>
    <w:p w14:paraId="3450D478" w14:textId="77777777" w:rsidR="00547197" w:rsidRDefault="00524C64" w:rsidP="00277ACF">
      <w:pPr>
        <w:spacing w:before="120" w:after="120"/>
        <w:jc w:val="both"/>
        <w:rPr>
          <w:lang w:val="vi-VN"/>
        </w:rPr>
      </w:pPr>
      <w:r w:rsidRPr="004D4A74">
        <w:rPr>
          <w:lang w:val="vi-VN"/>
        </w:rPr>
        <w:t>Quantitatively, Li⁺ exhibited significantly higher mobility in ZIF-8 (1.25 × 10⁻⁷ cm² s⁻¹) than in HKUST-1 (4.98 × 10⁻⁸ cm² s⁻¹) (Fig. 4i), despite the more confined pore structure in ZIF-8. This trend aligns well with the ⁷Li MAS NMR results (Figs. 3c,d), where shorter spin-lattice relaxation times in ZIF-8 reflect enhanced local Li⁺ dynamics. This enhanced Li⁺ mobility in ZIF-8 is a direct consequence of the nano-confinement-induced de-solvation effect, wherein Li⁺ ions are stripped of part of their solvation shell upon entry into the sub-nanometer MOF pores, reducing the drag from coordinated solvent molecules and facilitating directional hopping transport along the MOF channels.</w:t>
      </w:r>
    </w:p>
    <w:p w14:paraId="73F21F9E" w14:textId="77777777" w:rsidR="00547197" w:rsidRDefault="00524C64" w:rsidP="00277ACF">
      <w:pPr>
        <w:spacing w:before="120" w:after="120"/>
        <w:jc w:val="both"/>
        <w:rPr>
          <w:lang w:val="vi-VN"/>
        </w:rPr>
      </w:pPr>
      <w:r w:rsidRPr="004D4A74">
        <w:rPr>
          <w:lang w:val="vi-VN"/>
        </w:rPr>
        <w:t>In contrast, TFSI⁻ anions exhibited dramatically lower mobility in both MOFs, 1.16 × 10⁻⁸ cm² s⁻¹ in ZIF-8 and 2.97 × 10⁻⁸ cm² s⁻¹ in HKUST-1, as revealed by the near-plateau behavior in their mean square displacement (MSD) curves. However, the mechanisms responsible for this suppression differ fundamentally between the two frameworks. In ZIF-8, the physical size exclusion effect dominates: the narrow pore apertures impose severe steric hindrance on the bulky TFSI⁻ anions. This physical confinement limits the spatial freedom of TFSI⁻ and thereby hinders its contribution to ionic transport. In HKUST-1, although the pores are considerably larger, the presence of open Cu²⁺ coordination sites facilitates strong Lewis acid-base interactions with the electron-rich sulfonyl oxygen atoms of TFSI⁻. These chemical interactions anchor the anions within the framework, reducing their diffusivity through coordination-induced immobilization.</w:t>
      </w:r>
    </w:p>
    <w:p w14:paraId="51E1BFA9" w14:textId="0FF20544" w:rsidR="00547197" w:rsidRDefault="00524C64" w:rsidP="00277ACF">
      <w:pPr>
        <w:spacing w:before="120" w:after="120"/>
        <w:jc w:val="both"/>
        <w:rPr>
          <w:lang w:val="vi-VN"/>
        </w:rPr>
      </w:pPr>
      <w:r w:rsidRPr="004D4A74">
        <w:rPr>
          <w:lang w:val="vi-VN"/>
        </w:rPr>
        <w:t>The combined effects of these confinement mechanisms were reflected in the experimentally measured lithium-ion transference numbers (</w:t>
      </w:r>
      <m:oMath>
        <m:sSub>
          <m:sSubPr>
            <m:ctrlPr>
              <w:rPr>
                <w:rFonts w:ascii="Cambria Math" w:hAnsi="Cambria Math"/>
                <w:i/>
                <w:color w:val="000000" w:themeColor="text1"/>
              </w:rPr>
            </m:ctrlPr>
          </m:sSubPr>
          <m:e>
            <m:r>
              <w:rPr>
                <w:rFonts w:ascii="Cambria Math" w:hAnsi="Cambria Math"/>
                <w:color w:val="000000" w:themeColor="text1"/>
              </w:rPr>
              <m:t>t</m:t>
            </m:r>
          </m:e>
          <m:sub>
            <m:sSup>
              <m:sSupPr>
                <m:ctrlPr>
                  <w:rPr>
                    <w:rFonts w:ascii="Cambria Math" w:hAnsi="Cambria Math"/>
                    <w:i/>
                    <w:color w:val="000000" w:themeColor="text1"/>
                  </w:rPr>
                </m:ctrlPr>
              </m:sSupPr>
              <m:e>
                <m:r>
                  <w:rPr>
                    <w:rFonts w:ascii="Cambria Math" w:hAnsi="Cambria Math"/>
                    <w:color w:val="000000" w:themeColor="text1"/>
                  </w:rPr>
                  <m:t>Li</m:t>
                </m:r>
              </m:e>
              <m:sup>
                <m:r>
                  <w:rPr>
                    <w:rFonts w:ascii="Cambria Math" w:hAnsi="Cambria Math"/>
                    <w:color w:val="000000" w:themeColor="text1"/>
                  </w:rPr>
                  <m:t>+</m:t>
                </m:r>
              </m:sup>
            </m:sSup>
          </m:sub>
        </m:sSub>
      </m:oMath>
      <w:r w:rsidRPr="004D4A74">
        <w:rPr>
          <w:lang w:val="vi-VN"/>
        </w:rPr>
        <w:t>, which quantify the fraction of total ionic current carried by Li⁺. Compared to the bulk liquid electrolyte (</w:t>
      </w:r>
      <m:oMath>
        <m:sSub>
          <m:sSubPr>
            <m:ctrlPr>
              <w:rPr>
                <w:rFonts w:ascii="Cambria Math" w:hAnsi="Cambria Math"/>
                <w:i/>
                <w:color w:val="000000" w:themeColor="text1"/>
              </w:rPr>
            </m:ctrlPr>
          </m:sSubPr>
          <m:e>
            <m:r>
              <w:rPr>
                <w:rFonts w:ascii="Cambria Math" w:hAnsi="Cambria Math"/>
                <w:color w:val="000000" w:themeColor="text1"/>
              </w:rPr>
              <m:t>t</m:t>
            </m:r>
          </m:e>
          <m:sub>
            <m:sSup>
              <m:sSupPr>
                <m:ctrlPr>
                  <w:rPr>
                    <w:rFonts w:ascii="Cambria Math" w:hAnsi="Cambria Math"/>
                    <w:i/>
                    <w:color w:val="000000" w:themeColor="text1"/>
                  </w:rPr>
                </m:ctrlPr>
              </m:sSupPr>
              <m:e>
                <m:r>
                  <w:rPr>
                    <w:rFonts w:ascii="Cambria Math" w:hAnsi="Cambria Math"/>
                    <w:color w:val="000000" w:themeColor="text1"/>
                  </w:rPr>
                  <m:t>Li</m:t>
                </m:r>
              </m:e>
              <m:sup>
                <m:r>
                  <w:rPr>
                    <w:rFonts w:ascii="Cambria Math" w:hAnsi="Cambria Math"/>
                    <w:color w:val="000000" w:themeColor="text1"/>
                  </w:rPr>
                  <m:t>+</m:t>
                </m:r>
              </m:sup>
            </m:sSup>
          </m:sub>
        </m:sSub>
      </m:oMath>
      <w:r w:rsidRPr="004D4A74">
        <w:rPr>
          <w:lang w:val="vi-VN"/>
        </w:rPr>
        <w:t>= 0.154), both GHF@HKUST-1 and GHF@ZIF-8 showed substantial improvements, reaching 0.36 and 0.57, respectively (</w:t>
      </w:r>
      <w:r w:rsidR="00277ACF" w:rsidRPr="00E73FEE">
        <w:rPr>
          <w:lang w:val="vi-VN"/>
        </w:rPr>
        <w:t>Fig. S</w:t>
      </w:r>
      <w:r w:rsidRPr="00E73FEE">
        <w:rPr>
          <w:lang w:val="vi-VN"/>
        </w:rPr>
        <w:t>7</w:t>
      </w:r>
      <w:r w:rsidRPr="004D4A74">
        <w:rPr>
          <w:lang w:val="vi-VN"/>
        </w:rPr>
        <w:t xml:space="preserve">). The much higher </w:t>
      </w:r>
      <m:oMath>
        <m:sSub>
          <m:sSubPr>
            <m:ctrlPr>
              <w:rPr>
                <w:rFonts w:ascii="Cambria Math" w:hAnsi="Cambria Math"/>
                <w:i/>
                <w:color w:val="000000" w:themeColor="text1"/>
              </w:rPr>
            </m:ctrlPr>
          </m:sSubPr>
          <m:e>
            <m:r>
              <w:rPr>
                <w:rFonts w:ascii="Cambria Math" w:hAnsi="Cambria Math"/>
                <w:color w:val="000000" w:themeColor="text1"/>
              </w:rPr>
              <m:t>t</m:t>
            </m:r>
          </m:e>
          <m:sub>
            <m:sSup>
              <m:sSupPr>
                <m:ctrlPr>
                  <w:rPr>
                    <w:rFonts w:ascii="Cambria Math" w:hAnsi="Cambria Math"/>
                    <w:i/>
                    <w:color w:val="000000" w:themeColor="text1"/>
                  </w:rPr>
                </m:ctrlPr>
              </m:sSupPr>
              <m:e>
                <m:r>
                  <w:rPr>
                    <w:rFonts w:ascii="Cambria Math" w:hAnsi="Cambria Math"/>
                    <w:color w:val="000000" w:themeColor="text1"/>
                  </w:rPr>
                  <m:t>Li</m:t>
                </m:r>
              </m:e>
              <m:sup>
                <m:r>
                  <w:rPr>
                    <w:rFonts w:ascii="Cambria Math" w:hAnsi="Cambria Math"/>
                    <w:color w:val="000000" w:themeColor="text1"/>
                  </w:rPr>
                  <m:t>+</m:t>
                </m:r>
              </m:sup>
            </m:sSup>
            <m:r>
              <w:rPr>
                <w:rFonts w:ascii="Cambria Math" w:hAnsi="Cambria Math"/>
                <w:color w:val="000000" w:themeColor="text1"/>
              </w:rPr>
              <m:t xml:space="preserve"> </m:t>
            </m:r>
          </m:sub>
        </m:sSub>
      </m:oMath>
      <w:r w:rsidRPr="004D4A74">
        <w:rPr>
          <w:lang w:val="vi-VN"/>
        </w:rPr>
        <w:t>observed in GHF@ZIF-8 can be attributed to two synergistic factors: (i) the pronounced de-solvation of Li⁺ under spatial confinement, which reduces the ion’s hydrodynamic radius and facilitates faster, directionally selective diffusion through the MOF nanopores; and (ii) the nearly complete exclusion of TFSI⁻ transport due to strong physical sieving, which eliminates the competitive anion migration pathway. In contrast, although HKUST-1 also restricts TFSI⁻ mobility via chemical interactions, its larger pores do not impose the same level of physical confinement, and thus Li⁺ mobility remains relatively lower.</w:t>
      </w:r>
    </w:p>
    <w:p w14:paraId="16BC0CCB" w14:textId="77777777" w:rsidR="00547197" w:rsidRDefault="00524C64" w:rsidP="00277ACF">
      <w:pPr>
        <w:spacing w:before="120" w:after="120"/>
        <w:jc w:val="both"/>
        <w:rPr>
          <w:b/>
          <w:bCs/>
        </w:rPr>
      </w:pPr>
      <w:r w:rsidRPr="004D4A74">
        <w:rPr>
          <w:lang w:val="vi-VN"/>
        </w:rPr>
        <w:t>These findings underscore the critical role of nano-confinement architecture, not only in suppressing anion mobility, but also in restructuring the solvation environment of Li⁺ to promote selective and fast ion transport. They further highlight the potential of tailored MOF topologies to overcome fundamental limitations of conventional electrolyte systems and achieve highly directional, cation-dominated ionic conduction in quasi-solid-state architectures.</w:t>
      </w:r>
    </w:p>
    <w:p w14:paraId="0328A7E4" w14:textId="77777777" w:rsidR="00547197" w:rsidRDefault="00797771" w:rsidP="00257F26">
      <w:pPr>
        <w:spacing w:before="120" w:after="120"/>
        <w:jc w:val="center"/>
      </w:pPr>
      <w:r w:rsidRPr="004D4A74">
        <w:rPr>
          <w:noProof/>
          <w:lang w:val="en-IN" w:eastAsia="en-IN"/>
        </w:rPr>
        <w:drawing>
          <wp:inline distT="0" distB="0" distL="0" distR="0" wp14:anchorId="13EDBE68" wp14:editId="4CFE09D4">
            <wp:extent cx="5659199" cy="49377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540" r="4327"/>
                    <a:stretch/>
                  </pic:blipFill>
                  <pic:spPr bwMode="auto">
                    <a:xfrm>
                      <a:off x="0" y="0"/>
                      <a:ext cx="5674195" cy="4950844"/>
                    </a:xfrm>
                    <a:prstGeom prst="rect">
                      <a:avLst/>
                    </a:prstGeom>
                    <a:noFill/>
                    <a:ln>
                      <a:noFill/>
                    </a:ln>
                    <a:extLst>
                      <a:ext uri="{53640926-AAD7-44D8-BBD7-CCE9431645EC}">
                        <a14:shadowObscured xmlns:a14="http://schemas.microsoft.com/office/drawing/2010/main"/>
                      </a:ext>
                    </a:extLst>
                  </pic:spPr>
                </pic:pic>
              </a:graphicData>
            </a:graphic>
          </wp:inline>
        </w:drawing>
      </w:r>
    </w:p>
    <w:p w14:paraId="07CAA132" w14:textId="57DCED59" w:rsidR="00547197" w:rsidRDefault="00257F26" w:rsidP="00277ACF">
      <w:pPr>
        <w:spacing w:before="120" w:after="120"/>
        <w:jc w:val="both"/>
        <w:rPr>
          <w:b/>
          <w:bCs/>
          <w:lang w:val="vi-VN"/>
        </w:rPr>
      </w:pPr>
      <w:r>
        <w:rPr>
          <w:b/>
          <w:bCs/>
        </w:rPr>
        <w:t>Fig. S</w:t>
      </w:r>
      <w:r w:rsidR="00494B2D" w:rsidRPr="004D4A74">
        <w:rPr>
          <w:b/>
          <w:bCs/>
        </w:rPr>
        <w:t>7</w:t>
      </w:r>
      <w:r w:rsidR="00797771" w:rsidRPr="004D4A74">
        <w:rPr>
          <w:b/>
          <w:bCs/>
        </w:rPr>
        <w:t xml:space="preserve"> a</w:t>
      </w:r>
      <w:r w:rsidR="00797771" w:rsidRPr="004D4A74">
        <w:rPr>
          <w:b/>
          <w:bCs/>
          <w:lang w:val="vi-VN"/>
        </w:rPr>
        <w:t xml:space="preserve">-c, </w:t>
      </w:r>
      <w:r w:rsidR="00797771" w:rsidRPr="004D4A74">
        <w:t>Nyquist plots of the Li/</w:t>
      </w:r>
      <w:r w:rsidR="00797771" w:rsidRPr="004D4A74">
        <w:rPr>
          <w:lang w:val="vi-VN"/>
        </w:rPr>
        <w:t>/</w:t>
      </w:r>
      <w:r w:rsidR="00797771" w:rsidRPr="004D4A74">
        <w:t>Li symmetric cell of</w:t>
      </w:r>
      <w:r w:rsidR="00797771" w:rsidRPr="004D4A74">
        <w:rPr>
          <w:lang w:val="vi-VN"/>
        </w:rPr>
        <w:t xml:space="preserve"> GHF@</w:t>
      </w:r>
      <w:r w:rsidR="00797771" w:rsidRPr="004D4A74">
        <w:t>ZIF-8</w:t>
      </w:r>
      <w:r w:rsidR="00797771" w:rsidRPr="004D4A74">
        <w:rPr>
          <w:lang w:val="vi-VN"/>
        </w:rPr>
        <w:t xml:space="preserve"> (</w:t>
      </w:r>
      <w:r w:rsidR="00797771" w:rsidRPr="004D4A74">
        <w:rPr>
          <w:b/>
          <w:bCs/>
          <w:lang w:val="vi-VN"/>
        </w:rPr>
        <w:t>a</w:t>
      </w:r>
      <w:r w:rsidR="00797771" w:rsidRPr="004D4A74">
        <w:rPr>
          <w:lang w:val="vi-VN"/>
        </w:rPr>
        <w:t>), GHF@</w:t>
      </w:r>
      <w:r w:rsidR="00797771" w:rsidRPr="004D4A74">
        <w:t>HKUST-1</w:t>
      </w:r>
      <w:r w:rsidR="00797771" w:rsidRPr="004D4A74">
        <w:rPr>
          <w:lang w:val="vi-VN"/>
        </w:rPr>
        <w:t xml:space="preserve"> QSSE (</w:t>
      </w:r>
      <w:r w:rsidR="00797771" w:rsidRPr="004D4A74">
        <w:rPr>
          <w:b/>
          <w:bCs/>
          <w:lang w:val="vi-VN"/>
        </w:rPr>
        <w:t>b</w:t>
      </w:r>
      <w:r w:rsidR="00797771" w:rsidRPr="004D4A74">
        <w:rPr>
          <w:lang w:val="vi-VN"/>
        </w:rPr>
        <w:t>), and glass fiber (</w:t>
      </w:r>
      <w:r w:rsidR="00797771" w:rsidRPr="004D4A74">
        <w:rPr>
          <w:b/>
          <w:bCs/>
          <w:lang w:val="vi-VN"/>
        </w:rPr>
        <w:t>c</w:t>
      </w:r>
      <w:r w:rsidR="00797771" w:rsidRPr="004D4A74">
        <w:rPr>
          <w:lang w:val="vi-VN"/>
        </w:rPr>
        <w:t xml:space="preserve">) </w:t>
      </w:r>
      <w:r w:rsidR="00797771" w:rsidRPr="004D4A74">
        <w:t>before and after</w:t>
      </w:r>
      <w:r w:rsidR="00797771" w:rsidRPr="004D4A74">
        <w:rPr>
          <w:lang w:val="vi-VN"/>
        </w:rPr>
        <w:t xml:space="preserve"> DC</w:t>
      </w:r>
      <w:r w:rsidR="00797771" w:rsidRPr="004D4A74">
        <w:t xml:space="preserve"> polarization (the insets are the current–tim</w:t>
      </w:r>
      <w:r>
        <w:t>e curves at 10 mV polarization)</w:t>
      </w:r>
    </w:p>
    <w:p w14:paraId="71F2DE18" w14:textId="43A56894" w:rsidR="00547197" w:rsidRPr="00257F26" w:rsidRDefault="00277ACF" w:rsidP="00257F26">
      <w:pPr>
        <w:spacing w:before="120" w:after="240"/>
        <w:jc w:val="both"/>
        <w:rPr>
          <w:b/>
          <w:bCs/>
        </w:rPr>
      </w:pPr>
      <w:r w:rsidRPr="00277ACF">
        <w:rPr>
          <w:b/>
          <w:bCs/>
        </w:rPr>
        <w:t>Note S</w:t>
      </w:r>
      <w:r w:rsidR="00524C64" w:rsidRPr="004D4A74">
        <w:rPr>
          <w:b/>
          <w:bCs/>
        </w:rPr>
        <w:t>9 Influence of pore size and metal–ion interactions on Li</w:t>
      </w:r>
      <w:r w:rsidR="00524C64" w:rsidRPr="004D4A74">
        <w:rPr>
          <w:b/>
          <w:bCs/>
          <w:vertAlign w:val="superscript"/>
        </w:rPr>
        <w:t>+</w:t>
      </w:r>
      <w:r w:rsidR="00524C64" w:rsidRPr="004D4A74">
        <w:rPr>
          <w:b/>
          <w:bCs/>
        </w:rPr>
        <w:t xml:space="preserve"> solvation behavior in HKUST-1 and ZIF-8</w:t>
      </w:r>
    </w:p>
    <w:p w14:paraId="4A6CC2CD" w14:textId="77777777" w:rsidR="00547197" w:rsidRDefault="00524C64" w:rsidP="00277ACF">
      <w:pPr>
        <w:spacing w:before="120" w:after="120"/>
        <w:jc w:val="both"/>
        <w:rPr>
          <w:bCs/>
          <w:lang w:val="en-US"/>
        </w:rPr>
      </w:pPr>
      <w:r w:rsidRPr="004D4A74">
        <w:rPr>
          <w:bCs/>
          <w:lang w:val="en-US"/>
        </w:rPr>
        <w:t>The two MOFs impose very different solvation environments because of their pore dimensions and framework chemistries. The wide channels of HKUST-1 are large enough to accommodate intact solvation shells, so Li⁺ tends to migrate in a fully solvated state coordinated with PC. In contrast, the sub-nanometer apertures of ZIF-8 are close to (or smaller than) the size of a solvated Li⁺, which forces partial desolvation as ions pass through the pores. This structural restriction increases the frequency of Li⁺–TFSI⁻ contact and promotes selective ion transport. In terms of framework chemistry, HKUST-1 contains open Cu²⁺ sites that serve as Lewis acidic centers. These sites provide direct coordination pathways with both the sulfonyl oxygen atoms of TFSI⁻ and the carbonyl groups of PC. Such coordination is absent in ZIF-8, where anion and solvent confinement arises primarily from steric sieving and reduced dielectric screening within the narrow apertures. As a result, Li⁺–solvent coordination and metal–anion binding are stronger in HKUST-1, while Li⁺–anion association and steric immobilization are more dominant in ZIF-8.</w:t>
      </w:r>
    </w:p>
    <w:p w14:paraId="6873DF09" w14:textId="77777777" w:rsidR="00547197" w:rsidRDefault="00524C64" w:rsidP="00277ACF">
      <w:pPr>
        <w:spacing w:before="120" w:after="120"/>
        <w:jc w:val="both"/>
      </w:pPr>
      <w:r w:rsidRPr="004D4A74">
        <w:rPr>
          <w:bCs/>
          <w:lang w:val="en-US"/>
        </w:rPr>
        <w:t>These conclusions are supported by both experimental and computational evidence. Raman spectra and solid-state ⁷Li NMR identify solvated Li⁺ in HKUST-1 and desolvated Li⁺ in ZIF-8, while XRD of activated ZIF-8 reveals a distinct LiTFSI reflection at 20.7°, confirming stronger Li⁺–anion interactions. DFT binding-energy calculations quantify these differences: Li⁺–TFSI⁻ binding is more favorable in smaller pore size of ZIF-8 (–5.302 eV) than in HKUST-1 (–4.705 eV), consistent with enforced desolvation; PC–MOF framework interaction is also stronger in ZIF-8 (–0.059 eV) than in HKUST-1 (–0.047 eV), explaining why solvent leakage is more effectively suppressed in ZIF-8. Importantly, TFSI⁻ shows a stronger affinity to the open Cu²⁺ sites of HKUST-1 (–5.918 eV), which provides an additional pathway for anion immobilization and enhances the Li⁺–PC interaction for the formation of solvation structure. MD simulations further confirm that Li⁺ diffusivity is higher in ZIF-8 (1.25 × 10⁻⁷ cm² s⁻¹) than in HKUST-1 (4.98 × 10⁻⁸ cm² s⁻¹), while TFSI⁻ mobility is more suppressed in ZIF-8 (1.16 × 10⁻⁸ cm² s⁻¹ vs. 2.97 × 10⁻⁸ cm² s⁻¹ in HKUST-1). These computational results are fully consistent with the experimental transference numbers, which increase from 0.36 for GHF@HKUST-1 to 0.57 for GHF@ZIF-8. Taken together, the data show that HKUST-1 favors solvated Li⁺ transport, while ZIF-8 enforces desolvation, and immobilizes both solvent and anions.</w:t>
      </w:r>
    </w:p>
    <w:p w14:paraId="7F50C953" w14:textId="7FB40682" w:rsidR="00547197" w:rsidRDefault="00277ACF" w:rsidP="00257F26">
      <w:pPr>
        <w:spacing w:before="240" w:after="240"/>
        <w:jc w:val="both"/>
        <w:rPr>
          <w:b/>
          <w:bCs/>
        </w:rPr>
      </w:pPr>
      <w:r w:rsidRPr="00277ACF">
        <w:rPr>
          <w:b/>
          <w:bCs/>
        </w:rPr>
        <w:t>Note S</w:t>
      </w:r>
      <w:r w:rsidR="00B55F8E" w:rsidRPr="004D4A74">
        <w:rPr>
          <w:b/>
          <w:bCs/>
        </w:rPr>
        <w:t>10</w:t>
      </w:r>
      <w:r w:rsidR="00797771" w:rsidRPr="004D4A74">
        <w:rPr>
          <w:b/>
          <w:bCs/>
        </w:rPr>
        <w:t xml:space="preserve"> Properties</w:t>
      </w:r>
      <w:r w:rsidR="00797771" w:rsidRPr="004D4A74">
        <w:rPr>
          <w:b/>
          <w:bCs/>
          <w:lang w:val="vi-VN"/>
        </w:rPr>
        <w:t xml:space="preserve"> of core-shell MOF-based QSSE d</w:t>
      </w:r>
      <w:r w:rsidR="00257F26">
        <w:rPr>
          <w:b/>
          <w:bCs/>
          <w:lang w:val="vi-VN"/>
        </w:rPr>
        <w:t>esigned by 1D ZIF-8 and HKUST-1</w:t>
      </w:r>
    </w:p>
    <w:p w14:paraId="2B9FB4E3" w14:textId="76106B06" w:rsidR="00547197" w:rsidRDefault="00797771" w:rsidP="00277ACF">
      <w:pPr>
        <w:spacing w:before="120" w:after="120"/>
        <w:jc w:val="both"/>
        <w:rPr>
          <w:rFonts w:eastAsia="Times New Roman"/>
        </w:rPr>
      </w:pPr>
      <w:r w:rsidRPr="004D4A74">
        <w:rPr>
          <w:rFonts w:eastAsia="Times New Roman"/>
        </w:rPr>
        <w:t>To harness the advantages and mitigate the limitations of individual MOFs, we constructed a core–shell structure, GHF@</w:t>
      </w:r>
      <w:r w:rsidR="00D6261F" w:rsidRPr="004D4A74">
        <w:rPr>
          <w:rFonts w:eastAsia="Times New Roman"/>
        </w:rPr>
        <w:t>ZIF</w:t>
      </w:r>
      <w:r w:rsidR="00D6261F" w:rsidRPr="004D4A74">
        <w:rPr>
          <w:rFonts w:eastAsia="Times New Roman"/>
          <w:lang w:val="vi-VN"/>
        </w:rPr>
        <w:t>-8</w:t>
      </w:r>
      <w:r w:rsidRPr="004D4A74">
        <w:rPr>
          <w:rFonts w:eastAsia="Times New Roman"/>
        </w:rPr>
        <w:t>@</w:t>
      </w:r>
      <w:r w:rsidR="00D6261F" w:rsidRPr="004D4A74">
        <w:rPr>
          <w:rFonts w:eastAsia="Times New Roman"/>
        </w:rPr>
        <w:t>HKUST</w:t>
      </w:r>
      <w:r w:rsidR="00D6261F" w:rsidRPr="004D4A74">
        <w:rPr>
          <w:rFonts w:eastAsia="Times New Roman"/>
          <w:lang w:val="vi-VN"/>
        </w:rPr>
        <w:t>-1</w:t>
      </w:r>
      <w:r w:rsidRPr="004D4A74">
        <w:rPr>
          <w:rFonts w:eastAsia="Times New Roman"/>
        </w:rPr>
        <w:t xml:space="preserve">, by growing </w:t>
      </w:r>
      <w:r w:rsidR="00D6261F" w:rsidRPr="004D4A74">
        <w:rPr>
          <w:rFonts w:eastAsia="Times New Roman"/>
        </w:rPr>
        <w:t>HKUST</w:t>
      </w:r>
      <w:r w:rsidR="00D6261F" w:rsidRPr="004D4A74">
        <w:rPr>
          <w:rFonts w:eastAsia="Times New Roman"/>
          <w:lang w:val="vi-VN"/>
        </w:rPr>
        <w:t>-1</w:t>
      </w:r>
      <w:r w:rsidRPr="004D4A74">
        <w:rPr>
          <w:rFonts w:eastAsia="Times New Roman"/>
        </w:rPr>
        <w:t xml:space="preserve"> as an outer shell on the pre-formed GHF@</w:t>
      </w:r>
      <w:r w:rsidR="00D6261F" w:rsidRPr="004D4A74">
        <w:rPr>
          <w:rFonts w:eastAsia="Times New Roman"/>
        </w:rPr>
        <w:t>ZIF</w:t>
      </w:r>
      <w:r w:rsidR="00D6261F" w:rsidRPr="004D4A74">
        <w:rPr>
          <w:rFonts w:eastAsia="Times New Roman"/>
          <w:lang w:val="vi-VN"/>
        </w:rPr>
        <w:t>-8</w:t>
      </w:r>
      <w:r w:rsidRPr="004D4A74">
        <w:rPr>
          <w:rFonts w:eastAsia="Times New Roman"/>
        </w:rPr>
        <w:t xml:space="preserve">. SEM images reveal that the resulting core–shell architecture exhibits near-complete coverage of the surface of each individual fiber as well as the entire fiber network within the GF membrane (Supplementary Figs. </w:t>
      </w:r>
      <w:r w:rsidR="009552F9" w:rsidRPr="004D4A74">
        <w:rPr>
          <w:rFonts w:eastAsia="Times New Roman"/>
        </w:rPr>
        <w:t>8</w:t>
      </w:r>
      <w:r w:rsidRPr="004D4A74">
        <w:rPr>
          <w:rFonts w:eastAsia="Times New Roman"/>
        </w:rPr>
        <w:t>a</w:t>
      </w:r>
      <w:r w:rsidRPr="004D4A74">
        <w:rPr>
          <w:rFonts w:eastAsia="Times New Roman"/>
          <w:lang w:val="vi-VN"/>
        </w:rPr>
        <w:t>-g</w:t>
      </w:r>
      <w:r w:rsidRPr="004D4A74">
        <w:rPr>
          <w:rFonts w:eastAsia="Times New Roman"/>
        </w:rPr>
        <w:t xml:space="preserve">). EDS elemental mapping further confirms the successful formation of the hierarchical structure: the Zn signal (yellow), representing the </w:t>
      </w:r>
      <w:r w:rsidR="00D6261F" w:rsidRPr="004D4A74">
        <w:rPr>
          <w:rFonts w:eastAsia="Times New Roman"/>
        </w:rPr>
        <w:t>ZIF</w:t>
      </w:r>
      <w:r w:rsidR="00D6261F" w:rsidRPr="004D4A74">
        <w:rPr>
          <w:rFonts w:eastAsia="Times New Roman"/>
          <w:lang w:val="vi-VN"/>
        </w:rPr>
        <w:t>-8</w:t>
      </w:r>
      <w:r w:rsidRPr="004D4A74">
        <w:rPr>
          <w:rFonts w:eastAsia="Times New Roman"/>
        </w:rPr>
        <w:t xml:space="preserve"> core, is primarily concentrated near the inner region adjacent to the GF (Si, navy), while the Cu signal (sky-blue), indicative of </w:t>
      </w:r>
      <w:r w:rsidR="00D6261F" w:rsidRPr="004D4A74">
        <w:rPr>
          <w:rFonts w:eastAsia="Times New Roman"/>
        </w:rPr>
        <w:t>HKUST</w:t>
      </w:r>
      <w:r w:rsidR="00D6261F" w:rsidRPr="004D4A74">
        <w:rPr>
          <w:rFonts w:eastAsia="Times New Roman"/>
          <w:lang w:val="vi-VN"/>
        </w:rPr>
        <w:t>-1</w:t>
      </w:r>
      <w:r w:rsidRPr="004D4A74">
        <w:rPr>
          <w:rFonts w:eastAsia="Times New Roman"/>
        </w:rPr>
        <w:t>, is clearly located on the outermost surface (Figs</w:t>
      </w:r>
      <w:r w:rsidRPr="004D4A74">
        <w:rPr>
          <w:rFonts w:eastAsia="Times New Roman"/>
          <w:lang w:val="vi-VN"/>
        </w:rPr>
        <w:t xml:space="preserve">. </w:t>
      </w:r>
      <w:r w:rsidR="00E73FEE">
        <w:rPr>
          <w:rFonts w:eastAsia="Times New Roman"/>
          <w:lang w:val="vi-VN"/>
        </w:rPr>
        <w:t>S</w:t>
      </w:r>
      <w:r w:rsidR="009552F9" w:rsidRPr="004D4A74">
        <w:rPr>
          <w:rFonts w:eastAsia="Times New Roman"/>
          <w:lang w:val="vi-VN"/>
        </w:rPr>
        <w:t>8</w:t>
      </w:r>
      <w:r w:rsidRPr="004D4A74">
        <w:rPr>
          <w:rFonts w:eastAsia="Times New Roman"/>
          <w:lang w:val="vi-VN"/>
        </w:rPr>
        <w:t>c-f</w:t>
      </w:r>
      <w:r w:rsidRPr="004D4A74">
        <w:rPr>
          <w:rFonts w:eastAsia="Times New Roman"/>
        </w:rPr>
        <w:t xml:space="preserve">). </w:t>
      </w:r>
      <w:bookmarkStart w:id="5" w:name="_Hlk209174043"/>
      <w:r w:rsidR="00E75F2D" w:rsidRPr="004D4A74">
        <w:t>To further verify</w:t>
      </w:r>
      <w:r w:rsidR="00E75F2D" w:rsidRPr="004D4A74">
        <w:rPr>
          <w:lang w:val="vi-VN"/>
        </w:rPr>
        <w:t xml:space="preserve"> this structure</w:t>
      </w:r>
      <w:r w:rsidR="00E75F2D" w:rsidRPr="004D4A74">
        <w:t>, FIB cross-sections combined with EDS mapping</w:t>
      </w:r>
      <w:r w:rsidR="004D3490" w:rsidRPr="004D4A74">
        <w:rPr>
          <w:lang w:val="vi-VN"/>
        </w:rPr>
        <w:t xml:space="preserve"> and spectrum</w:t>
      </w:r>
      <w:r w:rsidR="00E75F2D" w:rsidRPr="004D4A74">
        <w:t xml:space="preserve"> </w:t>
      </w:r>
      <w:r w:rsidR="00E75F2D" w:rsidRPr="00257F26">
        <w:t>(</w:t>
      </w:r>
      <w:r w:rsidR="00277ACF" w:rsidRPr="00257F26">
        <w:t>Fig. S</w:t>
      </w:r>
      <w:r w:rsidR="009552F9" w:rsidRPr="00257F26">
        <w:rPr>
          <w:lang w:val="vi-VN"/>
        </w:rPr>
        <w:t>9</w:t>
      </w:r>
      <w:r w:rsidR="00E75F2D" w:rsidRPr="00257F26">
        <w:t>) clearly show a continuous Cu-rich shell uniformly covering the Zn-rich core. High-resolution TEM with EDS analysis (</w:t>
      </w:r>
      <w:r w:rsidR="00277ACF" w:rsidRPr="00257F26">
        <w:t>Fig. S</w:t>
      </w:r>
      <w:r w:rsidR="009552F9" w:rsidRPr="00257F26">
        <w:rPr>
          <w:lang w:val="vi-VN"/>
        </w:rPr>
        <w:t>10</w:t>
      </w:r>
      <w:r w:rsidR="00E75F2D" w:rsidRPr="004D4A74">
        <w:t>) further supports this result, revealing at higher magnification the distinct spatial separation between the Zn-rich inner domain and the Cu-rich outer layer with a well-defined, seamless interface</w:t>
      </w:r>
      <w:r w:rsidR="00E75F2D" w:rsidRPr="004D4A74">
        <w:rPr>
          <w:lang w:val="vi-VN"/>
        </w:rPr>
        <w:t xml:space="preserve">. </w:t>
      </w:r>
      <w:bookmarkEnd w:id="5"/>
      <w:r w:rsidRPr="004D4A74">
        <w:rPr>
          <w:rFonts w:eastAsia="Times New Roman"/>
        </w:rPr>
        <w:t xml:space="preserve">The XRD pattern of </w:t>
      </w:r>
      <w:r w:rsidR="00D6261F" w:rsidRPr="004D4A74">
        <w:rPr>
          <w:rFonts w:eastAsia="Times New Roman"/>
        </w:rPr>
        <w:t>GHF@ZIF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 xml:space="preserve">-1 </w:t>
      </w:r>
      <w:r w:rsidRPr="004D4A74">
        <w:rPr>
          <w:rFonts w:eastAsia="Times New Roman"/>
        </w:rPr>
        <w:t xml:space="preserve">exhibits characteristic diffraction peaks corresponding to both ZIF-8 and HKUST-1 when compared to their standard references, </w:t>
      </w:r>
      <w:r w:rsidRPr="00257F26">
        <w:rPr>
          <w:rFonts w:eastAsia="Times New Roman"/>
        </w:rPr>
        <w:t xml:space="preserve">corroborating the formation of the </w:t>
      </w:r>
      <w:r w:rsidR="00D6261F" w:rsidRPr="00257F26">
        <w:rPr>
          <w:rFonts w:eastAsia="Times New Roman"/>
        </w:rPr>
        <w:t>ZIF</w:t>
      </w:r>
      <w:r w:rsidR="00D6261F" w:rsidRPr="00257F26">
        <w:rPr>
          <w:rFonts w:eastAsia="Times New Roman"/>
          <w:lang w:val="vi-VN"/>
        </w:rPr>
        <w:t>-8</w:t>
      </w:r>
      <w:r w:rsidR="00D6261F" w:rsidRPr="00257F26">
        <w:rPr>
          <w:rFonts w:eastAsia="Times New Roman"/>
        </w:rPr>
        <w:t>@HKUST</w:t>
      </w:r>
      <w:r w:rsidR="00D6261F" w:rsidRPr="00257F26">
        <w:rPr>
          <w:rFonts w:eastAsia="Times New Roman"/>
          <w:lang w:val="vi-VN"/>
        </w:rPr>
        <w:t>-1</w:t>
      </w:r>
      <w:r w:rsidRPr="00257F26">
        <w:rPr>
          <w:rFonts w:eastAsia="Times New Roman"/>
        </w:rPr>
        <w:t xml:space="preserve"> core–shell MOF structure on the GHF substrate (</w:t>
      </w:r>
      <w:r w:rsidR="00257F26">
        <w:rPr>
          <w:rFonts w:eastAsia="Times New Roman"/>
        </w:rPr>
        <w:t>Fig. S</w:t>
      </w:r>
      <w:r w:rsidR="009552F9" w:rsidRPr="00257F26">
        <w:rPr>
          <w:rFonts w:eastAsia="Times New Roman"/>
        </w:rPr>
        <w:t>8</w:t>
      </w:r>
      <w:r w:rsidRPr="00257F26">
        <w:rPr>
          <w:rFonts w:eastAsia="Times New Roman"/>
        </w:rPr>
        <w:t>h).</w:t>
      </w:r>
      <w:r w:rsidRPr="00257F26">
        <w:rPr>
          <w:rFonts w:eastAsia="Times New Roman"/>
          <w:lang w:val="vi-VN"/>
        </w:rPr>
        <w:t xml:space="preserve"> </w:t>
      </w:r>
      <w:r w:rsidRPr="00257F26">
        <w:rPr>
          <w:rFonts w:eastAsia="Times New Roman"/>
        </w:rPr>
        <w:t>Following our two-step activation process with a typical liquid electrolyte (1 M LiTFSI in PC), the intensity of the XRD peaks, especially in the low 2θ region (5–10°), was significantly reduced (</w:t>
      </w:r>
      <w:r w:rsidR="00257F26">
        <w:rPr>
          <w:rFonts w:eastAsia="Times New Roman"/>
        </w:rPr>
        <w:t>Fig. S</w:t>
      </w:r>
      <w:r w:rsidR="009552F9" w:rsidRPr="00257F26">
        <w:rPr>
          <w:rFonts w:eastAsia="Times New Roman"/>
        </w:rPr>
        <w:t>8</w:t>
      </w:r>
      <w:r w:rsidRPr="00257F26">
        <w:rPr>
          <w:rFonts w:eastAsia="Times New Roman"/>
        </w:rPr>
        <w:t xml:space="preserve">h). This reduction in peak intensity indicates that the electrolyte molecules were effectively infiltrated into both the </w:t>
      </w:r>
      <w:r w:rsidR="00D6261F" w:rsidRPr="00257F26">
        <w:rPr>
          <w:rFonts w:eastAsia="Times New Roman"/>
        </w:rPr>
        <w:t>HKUST</w:t>
      </w:r>
      <w:r w:rsidR="00D6261F" w:rsidRPr="00257F26">
        <w:rPr>
          <w:rFonts w:eastAsia="Times New Roman"/>
          <w:lang w:val="vi-VN"/>
        </w:rPr>
        <w:t>-1</w:t>
      </w:r>
      <w:r w:rsidRPr="00257F26">
        <w:rPr>
          <w:rFonts w:eastAsia="Times New Roman"/>
        </w:rPr>
        <w:t xml:space="preserve"> shell and the </w:t>
      </w:r>
      <w:r w:rsidR="00D6261F" w:rsidRPr="00257F26">
        <w:rPr>
          <w:rFonts w:eastAsia="Times New Roman"/>
          <w:color w:val="000000" w:themeColor="text1"/>
        </w:rPr>
        <w:t>ZIF</w:t>
      </w:r>
      <w:r w:rsidR="00D6261F" w:rsidRPr="00257F26">
        <w:rPr>
          <w:rFonts w:eastAsia="Times New Roman"/>
          <w:color w:val="000000" w:themeColor="text1"/>
          <w:lang w:val="vi-VN"/>
        </w:rPr>
        <w:t>-8</w:t>
      </w:r>
      <w:r w:rsidRPr="00257F26">
        <w:rPr>
          <w:rFonts w:eastAsia="Times New Roman"/>
          <w:color w:val="000000" w:themeColor="text1"/>
        </w:rPr>
        <w:t xml:space="preserve"> </w:t>
      </w:r>
      <w:r w:rsidRPr="00257F26">
        <w:rPr>
          <w:rFonts w:eastAsia="Times New Roman"/>
        </w:rPr>
        <w:t>core during</w:t>
      </w:r>
      <w:r w:rsidRPr="004D4A74">
        <w:rPr>
          <w:rFonts w:eastAsia="Times New Roman"/>
        </w:rPr>
        <w:t xml:space="preserve"> activation. The infiltration likely disrupted the long-range ordering of the framework structure, leading to diminished XRD signal intensity associated with the crystallographic planes of the MOF layers.</w:t>
      </w:r>
    </w:p>
    <w:p w14:paraId="5F31377F" w14:textId="77777777" w:rsidR="00547197" w:rsidRDefault="00B756DD" w:rsidP="00257F26">
      <w:pPr>
        <w:spacing w:before="120" w:after="120"/>
        <w:jc w:val="center"/>
      </w:pPr>
      <w:r w:rsidRPr="004D4A74">
        <w:rPr>
          <w:noProof/>
          <w:lang w:val="en-IN" w:eastAsia="en-IN"/>
        </w:rPr>
        <w:drawing>
          <wp:inline distT="0" distB="0" distL="0" distR="0" wp14:anchorId="7F39B36F" wp14:editId="531E1796">
            <wp:extent cx="4983659" cy="3628339"/>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07939" cy="3646016"/>
                    </a:xfrm>
                    <a:prstGeom prst="rect">
                      <a:avLst/>
                    </a:prstGeom>
                    <a:noFill/>
                  </pic:spPr>
                </pic:pic>
              </a:graphicData>
            </a:graphic>
          </wp:inline>
        </w:drawing>
      </w:r>
    </w:p>
    <w:p w14:paraId="30E6E2BD" w14:textId="77777777" w:rsidR="00257F26" w:rsidRDefault="00257F26" w:rsidP="00257F26">
      <w:pPr>
        <w:spacing w:before="120" w:after="120"/>
        <w:jc w:val="both"/>
        <w:rPr>
          <w:rFonts w:eastAsia="Times New Roman"/>
          <w:lang w:val="vi-VN"/>
        </w:rPr>
      </w:pPr>
      <w:r>
        <w:rPr>
          <w:b/>
          <w:bCs/>
        </w:rPr>
        <w:t>Fig. S</w:t>
      </w:r>
      <w:r w:rsidR="00494B2D" w:rsidRPr="004D4A74">
        <w:rPr>
          <w:b/>
          <w:bCs/>
        </w:rPr>
        <w:t>8</w:t>
      </w:r>
      <w:r w:rsidR="00797771" w:rsidRPr="004D4A74">
        <w:rPr>
          <w:b/>
          <w:bCs/>
        </w:rPr>
        <w:t xml:space="preserve"> a, </w:t>
      </w:r>
      <w:r w:rsidR="00797771" w:rsidRPr="004D4A74">
        <w:t xml:space="preserve">Schematic illustration of </w:t>
      </w:r>
      <w:r w:rsidR="00D6261F" w:rsidRPr="004D4A74">
        <w:rPr>
          <w:rFonts w:eastAsia="Times New Roman"/>
        </w:rPr>
        <w:t>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-1</w:t>
      </w:r>
      <w:r w:rsidR="00797771" w:rsidRPr="004D4A74">
        <w:t xml:space="preserve"> core-shell grown on </w:t>
      </w:r>
      <w:r w:rsidR="00797771" w:rsidRPr="004D4A74">
        <w:rPr>
          <w:rFonts w:eastAsia="Times New Roman"/>
        </w:rPr>
        <w:t xml:space="preserve">GHF. </w:t>
      </w:r>
      <w:r w:rsidR="00797771" w:rsidRPr="004D4A74">
        <w:rPr>
          <w:rFonts w:eastAsia="Times New Roman"/>
          <w:b/>
          <w:bCs/>
        </w:rPr>
        <w:t>b</w:t>
      </w:r>
      <w:r w:rsidR="00797771" w:rsidRPr="004D4A74">
        <w:rPr>
          <w:rFonts w:eastAsia="Times New Roman"/>
        </w:rPr>
        <w:t xml:space="preserve">, </w:t>
      </w:r>
      <w:r w:rsidR="00797771" w:rsidRPr="004D4A74">
        <w:t>Low magnification</w:t>
      </w:r>
      <w:r w:rsidR="00797771" w:rsidRPr="004D4A74">
        <w:rPr>
          <w:b/>
          <w:bCs/>
        </w:rPr>
        <w:t xml:space="preserve"> </w:t>
      </w:r>
      <w:r w:rsidR="00797771" w:rsidRPr="004D4A74">
        <w:t xml:space="preserve">SEM images of </w:t>
      </w:r>
      <w:r w:rsidR="00D6261F" w:rsidRPr="004D4A74">
        <w:rPr>
          <w:rFonts w:eastAsia="Times New Roman"/>
        </w:rPr>
        <w:t>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-1</w:t>
      </w:r>
      <w:r w:rsidR="00797771" w:rsidRPr="004D4A74">
        <w:t xml:space="preserve"> core-shell grown on GHF. </w:t>
      </w:r>
      <w:r w:rsidR="00797771" w:rsidRPr="004D4A74">
        <w:rPr>
          <w:b/>
          <w:bCs/>
        </w:rPr>
        <w:t>c</w:t>
      </w:r>
      <w:r w:rsidR="00797771" w:rsidRPr="004D4A74">
        <w:rPr>
          <w:b/>
          <w:bCs/>
          <w:lang w:val="vi-VN"/>
        </w:rPr>
        <w:t>-</w:t>
      </w:r>
      <w:r w:rsidR="00797771" w:rsidRPr="004D4A74">
        <w:rPr>
          <w:b/>
          <w:bCs/>
        </w:rPr>
        <w:t>f</w:t>
      </w:r>
      <w:r w:rsidR="00797771" w:rsidRPr="004D4A74">
        <w:rPr>
          <w:b/>
          <w:bCs/>
          <w:lang w:val="vi-VN"/>
        </w:rPr>
        <w:t xml:space="preserve">, </w:t>
      </w:r>
      <w:r w:rsidR="00797771" w:rsidRPr="004D4A74">
        <w:t xml:space="preserve">High magnification SEM images of </w:t>
      </w:r>
      <w:r w:rsidR="00D6261F" w:rsidRPr="004D4A74">
        <w:rPr>
          <w:rFonts w:eastAsia="Times New Roman"/>
        </w:rPr>
        <w:t>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-1</w:t>
      </w:r>
      <w:r w:rsidR="00797771" w:rsidRPr="004D4A74">
        <w:t xml:space="preserve"> core-shell grown on single GHF with </w:t>
      </w:r>
      <w:r w:rsidR="00797771" w:rsidRPr="004D4A74">
        <w:rPr>
          <w:lang w:val="vi-VN"/>
        </w:rPr>
        <w:t>EDS layer (</w:t>
      </w:r>
      <w:r w:rsidR="00797771" w:rsidRPr="004D4A74">
        <w:rPr>
          <w:b/>
          <w:bCs/>
        </w:rPr>
        <w:t>c</w:t>
      </w:r>
      <w:r w:rsidR="00797771" w:rsidRPr="004D4A74">
        <w:rPr>
          <w:lang w:val="vi-VN"/>
        </w:rPr>
        <w:t xml:space="preserve">) and </w:t>
      </w:r>
      <w:r w:rsidR="00797771" w:rsidRPr="004D4A74">
        <w:t>elemental mapping images</w:t>
      </w:r>
      <w:r w:rsidR="00797771" w:rsidRPr="004D4A74">
        <w:rPr>
          <w:lang w:val="vi-VN"/>
        </w:rPr>
        <w:t xml:space="preserve"> of </w:t>
      </w:r>
      <w:r w:rsidR="00D6261F" w:rsidRPr="004D4A74">
        <w:rPr>
          <w:rFonts w:eastAsia="Times New Roman"/>
        </w:rPr>
        <w:t>GHF@ZIF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 xml:space="preserve">-1 </w:t>
      </w:r>
      <w:r w:rsidR="00797771" w:rsidRPr="004D4A74">
        <w:rPr>
          <w:lang w:val="vi-VN"/>
        </w:rPr>
        <w:t>(</w:t>
      </w:r>
      <w:r w:rsidR="00797771" w:rsidRPr="004D4A74">
        <w:rPr>
          <w:b/>
          <w:bCs/>
        </w:rPr>
        <w:t>d</w:t>
      </w:r>
      <w:r w:rsidR="00797771" w:rsidRPr="004D4A74">
        <w:rPr>
          <w:b/>
          <w:bCs/>
          <w:lang w:val="vi-VN"/>
        </w:rPr>
        <w:t>-</w:t>
      </w:r>
      <w:r w:rsidR="00797771" w:rsidRPr="004D4A74">
        <w:rPr>
          <w:b/>
          <w:bCs/>
        </w:rPr>
        <w:t>f</w:t>
      </w:r>
      <w:r w:rsidR="00797771" w:rsidRPr="004D4A74">
        <w:rPr>
          <w:lang w:val="vi-VN"/>
        </w:rPr>
        <w:t>).</w:t>
      </w:r>
      <w:r w:rsidR="00797771" w:rsidRPr="004D4A74">
        <w:t xml:space="preserve"> </w:t>
      </w:r>
      <w:r w:rsidR="00797771" w:rsidRPr="004D4A74">
        <w:rPr>
          <w:b/>
          <w:bCs/>
        </w:rPr>
        <w:t>g</w:t>
      </w:r>
      <w:r w:rsidR="00797771" w:rsidRPr="004D4A74">
        <w:t xml:space="preserve">, Cross-sectional SEM image of </w:t>
      </w:r>
      <w:r w:rsidR="00D6261F" w:rsidRPr="004D4A74">
        <w:rPr>
          <w:rFonts w:eastAsia="Times New Roman"/>
        </w:rPr>
        <w:t>GHF@ZIF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 xml:space="preserve">-1 </w:t>
      </w:r>
      <w:r w:rsidR="00797771" w:rsidRPr="004D4A74">
        <w:rPr>
          <w:lang w:val="vi-VN"/>
        </w:rPr>
        <w:t>quasi-solid-state electrolyte.</w:t>
      </w:r>
      <w:r w:rsidR="00797771" w:rsidRPr="004D4A74">
        <w:t xml:space="preserve"> </w:t>
      </w:r>
      <w:r w:rsidR="00797771" w:rsidRPr="004D4A74">
        <w:rPr>
          <w:b/>
          <w:bCs/>
        </w:rPr>
        <w:t>h</w:t>
      </w:r>
      <w:r w:rsidR="00797771" w:rsidRPr="004D4A74">
        <w:t>, XRD patterns of</w:t>
      </w:r>
      <w:r w:rsidR="00797771" w:rsidRPr="004D4A74">
        <w:rPr>
          <w:lang w:val="vi-VN"/>
        </w:rPr>
        <w:t xml:space="preserve"> pristine and activated </w:t>
      </w:r>
      <w:r w:rsidR="00D6261F" w:rsidRPr="004D4A74">
        <w:rPr>
          <w:rFonts w:eastAsia="Times New Roman"/>
        </w:rPr>
        <w:t>GHF@ZIF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-1</w:t>
      </w:r>
      <w:bookmarkStart w:id="6" w:name="_Hlk209173663"/>
    </w:p>
    <w:p w14:paraId="1387F72E" w14:textId="59371329" w:rsidR="00547197" w:rsidRDefault="000432E0" w:rsidP="00257F26">
      <w:pPr>
        <w:spacing w:before="120" w:after="120"/>
        <w:jc w:val="center"/>
      </w:pPr>
      <w:r w:rsidRPr="004D4A74">
        <w:rPr>
          <w:noProof/>
          <w:lang w:val="en-IN" w:eastAsia="en-IN"/>
        </w:rPr>
        <w:drawing>
          <wp:inline distT="0" distB="0" distL="0" distR="0" wp14:anchorId="16D4D930" wp14:editId="0447C16E">
            <wp:extent cx="5405933" cy="2170241"/>
            <wp:effectExtent l="0" t="0" r="444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67106" cy="2194799"/>
                    </a:xfrm>
                    <a:prstGeom prst="rect">
                      <a:avLst/>
                    </a:prstGeom>
                    <a:noFill/>
                    <a:ln>
                      <a:noFill/>
                    </a:ln>
                  </pic:spPr>
                </pic:pic>
              </a:graphicData>
            </a:graphic>
          </wp:inline>
        </w:drawing>
      </w:r>
    </w:p>
    <w:p w14:paraId="7FA603A8" w14:textId="77777777" w:rsidR="00257F26" w:rsidRDefault="00257F26" w:rsidP="00257F26">
      <w:pPr>
        <w:spacing w:before="120" w:after="120"/>
        <w:jc w:val="center"/>
        <w:rPr>
          <w:color w:val="000000" w:themeColor="text1"/>
          <w:lang w:val="vi-VN"/>
        </w:rPr>
      </w:pPr>
      <w:r>
        <w:rPr>
          <w:b/>
          <w:bCs/>
          <w:color w:val="000000" w:themeColor="text1"/>
        </w:rPr>
        <w:t>Fig. S9</w:t>
      </w:r>
      <w:r w:rsidR="00F85E92" w:rsidRPr="004D4A74">
        <w:rPr>
          <w:b/>
          <w:bCs/>
          <w:color w:val="000000" w:themeColor="text1"/>
          <w:lang w:val="vi-VN"/>
        </w:rPr>
        <w:t xml:space="preserve"> a-</w:t>
      </w:r>
      <w:r w:rsidR="008F7A04" w:rsidRPr="004D4A74">
        <w:rPr>
          <w:b/>
          <w:bCs/>
          <w:color w:val="000000" w:themeColor="text1"/>
          <w:lang w:val="vi-VN"/>
        </w:rPr>
        <w:t>e</w:t>
      </w:r>
      <w:r w:rsidR="00F85E92" w:rsidRPr="004D4A74">
        <w:rPr>
          <w:b/>
          <w:bCs/>
          <w:color w:val="000000" w:themeColor="text1"/>
          <w:lang w:val="vi-VN"/>
        </w:rPr>
        <w:t xml:space="preserve">, </w:t>
      </w:r>
      <w:r w:rsidR="00F85E92" w:rsidRPr="004D4A74">
        <w:rPr>
          <w:bCs/>
          <w:color w:val="000000" w:themeColor="text1"/>
          <w:shd w:val="clear" w:color="auto" w:fill="FFFFFF"/>
          <w:lang w:val="vi-VN"/>
        </w:rPr>
        <w:t>FIB cross-sectional</w:t>
      </w:r>
      <w:r w:rsidR="00F85E92" w:rsidRPr="004D4A74">
        <w:rPr>
          <w:color w:val="000000" w:themeColor="text1"/>
          <w:lang w:val="vi-VN"/>
        </w:rPr>
        <w:t xml:space="preserve"> images of ZIF-8@HKUST-1 core-shell grown on single GHF</w:t>
      </w:r>
      <w:r w:rsidR="00F85E92" w:rsidRPr="004D4A74">
        <w:rPr>
          <w:b/>
          <w:bCs/>
          <w:color w:val="000000" w:themeColor="text1"/>
          <w:lang w:val="vi-VN"/>
        </w:rPr>
        <w:t xml:space="preserve"> (a) </w:t>
      </w:r>
      <w:r w:rsidR="00F85E92" w:rsidRPr="004D4A74">
        <w:rPr>
          <w:color w:val="000000" w:themeColor="text1"/>
          <w:lang w:val="vi-VN"/>
        </w:rPr>
        <w:t>with elemental mapping images</w:t>
      </w:r>
      <w:r w:rsidR="008F7A04" w:rsidRPr="004D4A74">
        <w:rPr>
          <w:color w:val="000000" w:themeColor="text1"/>
          <w:lang w:val="vi-VN"/>
        </w:rPr>
        <w:t xml:space="preserve"> </w:t>
      </w:r>
      <w:r w:rsidR="008F7A04" w:rsidRPr="004D4A74">
        <w:rPr>
          <w:b/>
          <w:bCs/>
          <w:color w:val="000000" w:themeColor="text1"/>
          <w:lang w:val="vi-VN"/>
        </w:rPr>
        <w:t xml:space="preserve">(b-d) </w:t>
      </w:r>
      <w:r w:rsidR="008F7A04" w:rsidRPr="004D4A74">
        <w:rPr>
          <w:color w:val="000000" w:themeColor="text1"/>
          <w:lang w:val="vi-VN"/>
        </w:rPr>
        <w:t xml:space="preserve">and EDS spectrum </w:t>
      </w:r>
      <w:r w:rsidR="008F7A04" w:rsidRPr="004D4A74">
        <w:rPr>
          <w:b/>
          <w:bCs/>
          <w:color w:val="000000" w:themeColor="text1"/>
          <w:lang w:val="vi-VN"/>
        </w:rPr>
        <w:t>(e)</w:t>
      </w:r>
      <w:r w:rsidR="00F85E92" w:rsidRPr="004D4A74">
        <w:rPr>
          <w:color w:val="000000" w:themeColor="text1"/>
          <w:lang w:val="vi-VN"/>
        </w:rPr>
        <w:t xml:space="preserve"> of GHF@ZIF-8@HKUST-1</w:t>
      </w:r>
    </w:p>
    <w:p w14:paraId="3862A0EB" w14:textId="125FC8C6" w:rsidR="00547197" w:rsidRDefault="000432E0" w:rsidP="00257F26">
      <w:pPr>
        <w:spacing w:before="120" w:after="120"/>
        <w:jc w:val="center"/>
      </w:pPr>
      <w:r w:rsidRPr="004D4A74">
        <w:rPr>
          <w:noProof/>
          <w:lang w:val="en-IN" w:eastAsia="en-IN"/>
        </w:rPr>
        <w:drawing>
          <wp:inline distT="0" distB="0" distL="0" distR="0" wp14:anchorId="3A9ECD6C" wp14:editId="5FA5725E">
            <wp:extent cx="4652462" cy="549371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r="3887"/>
                    <a:stretch/>
                  </pic:blipFill>
                  <pic:spPr bwMode="auto">
                    <a:xfrm>
                      <a:off x="0" y="0"/>
                      <a:ext cx="4662024" cy="5505007"/>
                    </a:xfrm>
                    <a:prstGeom prst="rect">
                      <a:avLst/>
                    </a:prstGeom>
                    <a:noFill/>
                    <a:ln>
                      <a:noFill/>
                    </a:ln>
                    <a:extLst>
                      <a:ext uri="{53640926-AAD7-44D8-BBD7-CCE9431645EC}">
                        <a14:shadowObscured xmlns:a14="http://schemas.microsoft.com/office/drawing/2010/main"/>
                      </a:ext>
                    </a:extLst>
                  </pic:spPr>
                </pic:pic>
              </a:graphicData>
            </a:graphic>
          </wp:inline>
        </w:drawing>
      </w:r>
    </w:p>
    <w:p w14:paraId="3AC41AF5" w14:textId="77777777" w:rsidR="00547197" w:rsidRDefault="00547197" w:rsidP="00277ACF">
      <w:pPr>
        <w:spacing w:before="120" w:after="120"/>
        <w:jc w:val="center"/>
        <w:rPr>
          <w:rFonts w:eastAsia="Times New Roman"/>
          <w:lang w:val="en-US"/>
        </w:rPr>
      </w:pPr>
    </w:p>
    <w:p w14:paraId="27CD34BF" w14:textId="0AD635F4" w:rsidR="00547197" w:rsidRDefault="00257F26" w:rsidP="00277ACF">
      <w:pPr>
        <w:spacing w:before="120" w:after="120"/>
        <w:jc w:val="both"/>
        <w:rPr>
          <w:b/>
          <w:bCs/>
          <w:color w:val="000000" w:themeColor="text1"/>
          <w:lang w:val="vi-VN"/>
        </w:rPr>
      </w:pPr>
      <w:r>
        <w:rPr>
          <w:b/>
          <w:bCs/>
          <w:color w:val="000000" w:themeColor="text1"/>
        </w:rPr>
        <w:t>Fig. S</w:t>
      </w:r>
      <w:r w:rsidR="00494B2D" w:rsidRPr="004D4A74">
        <w:rPr>
          <w:b/>
          <w:bCs/>
          <w:color w:val="000000" w:themeColor="text1"/>
        </w:rPr>
        <w:t>10</w:t>
      </w:r>
      <w:r w:rsidR="00F85E92" w:rsidRPr="004D4A74">
        <w:rPr>
          <w:b/>
          <w:bCs/>
          <w:color w:val="000000" w:themeColor="text1"/>
          <w:lang w:val="vi-VN"/>
        </w:rPr>
        <w:t xml:space="preserve"> a-f, </w:t>
      </w:r>
      <w:r w:rsidR="00F85E92" w:rsidRPr="004D4A74">
        <w:rPr>
          <w:color w:val="000000" w:themeColor="text1"/>
          <w:lang w:val="vi-VN"/>
        </w:rPr>
        <w:t>TEM images of ZIF-8@HKUST-1 core-shell grown on single GHF</w:t>
      </w:r>
      <w:r w:rsidR="00F85E92" w:rsidRPr="004D4A74">
        <w:rPr>
          <w:b/>
          <w:bCs/>
          <w:color w:val="000000" w:themeColor="text1"/>
          <w:lang w:val="vi-VN"/>
        </w:rPr>
        <w:t xml:space="preserve"> (a) </w:t>
      </w:r>
      <w:r w:rsidR="00F85E92" w:rsidRPr="004D4A74">
        <w:rPr>
          <w:color w:val="000000" w:themeColor="text1"/>
          <w:lang w:val="vi-VN"/>
        </w:rPr>
        <w:t>with EDS layer</w:t>
      </w:r>
      <w:r w:rsidR="00F85E92" w:rsidRPr="004D4A74">
        <w:rPr>
          <w:b/>
          <w:bCs/>
          <w:color w:val="000000" w:themeColor="text1"/>
          <w:lang w:val="vi-VN"/>
        </w:rPr>
        <w:t xml:space="preserve"> (b)</w:t>
      </w:r>
      <w:r w:rsidR="000432E0" w:rsidRPr="004D4A74">
        <w:rPr>
          <w:color w:val="000000" w:themeColor="text1"/>
          <w:lang w:val="vi-VN"/>
        </w:rPr>
        <w:t xml:space="preserve">, </w:t>
      </w:r>
      <w:r w:rsidR="00F85E92" w:rsidRPr="004D4A74">
        <w:rPr>
          <w:color w:val="000000" w:themeColor="text1"/>
          <w:lang w:val="vi-VN"/>
        </w:rPr>
        <w:t>elemental mapping images</w:t>
      </w:r>
      <w:r w:rsidR="000432E0" w:rsidRPr="004D4A74">
        <w:rPr>
          <w:color w:val="000000" w:themeColor="text1"/>
          <w:lang w:val="vi-VN"/>
        </w:rPr>
        <w:t xml:space="preserve"> </w:t>
      </w:r>
      <w:r w:rsidR="000432E0" w:rsidRPr="004D4A74">
        <w:rPr>
          <w:b/>
          <w:bCs/>
          <w:color w:val="000000" w:themeColor="text1"/>
          <w:lang w:val="vi-VN"/>
        </w:rPr>
        <w:t>(c-f)</w:t>
      </w:r>
      <w:r w:rsidR="000432E0" w:rsidRPr="004D4A74">
        <w:rPr>
          <w:color w:val="000000" w:themeColor="text1"/>
          <w:lang w:val="vi-VN"/>
        </w:rPr>
        <w:t>, and</w:t>
      </w:r>
      <w:r w:rsidR="00F85E92" w:rsidRPr="004D4A74">
        <w:rPr>
          <w:color w:val="000000" w:themeColor="text1"/>
          <w:lang w:val="vi-VN"/>
        </w:rPr>
        <w:t xml:space="preserve"> </w:t>
      </w:r>
      <w:r w:rsidR="000432E0" w:rsidRPr="004D4A74">
        <w:rPr>
          <w:color w:val="000000" w:themeColor="text1"/>
          <w:lang w:val="vi-VN"/>
        </w:rPr>
        <w:t xml:space="preserve">EDS spectrum </w:t>
      </w:r>
      <w:r w:rsidR="000432E0" w:rsidRPr="004D4A74">
        <w:rPr>
          <w:b/>
          <w:bCs/>
          <w:color w:val="000000" w:themeColor="text1"/>
          <w:lang w:val="vi-VN"/>
        </w:rPr>
        <w:t>(</w:t>
      </w:r>
      <w:r w:rsidR="00763D75" w:rsidRPr="004D4A74">
        <w:rPr>
          <w:b/>
          <w:bCs/>
          <w:color w:val="000000" w:themeColor="text1"/>
          <w:lang w:val="vi-VN"/>
        </w:rPr>
        <w:t>g</w:t>
      </w:r>
      <w:r w:rsidR="000432E0" w:rsidRPr="004D4A74">
        <w:rPr>
          <w:b/>
          <w:bCs/>
          <w:color w:val="000000" w:themeColor="text1"/>
          <w:lang w:val="vi-VN"/>
        </w:rPr>
        <w:t>)</w:t>
      </w:r>
      <w:r w:rsidR="000432E0" w:rsidRPr="004D4A74">
        <w:rPr>
          <w:color w:val="000000" w:themeColor="text1"/>
          <w:lang w:val="vi-VN"/>
        </w:rPr>
        <w:t xml:space="preserve"> </w:t>
      </w:r>
      <w:r w:rsidR="00F85E92" w:rsidRPr="004D4A74">
        <w:rPr>
          <w:color w:val="000000" w:themeColor="text1"/>
          <w:lang w:val="vi-VN"/>
        </w:rPr>
        <w:t>of GHF@ZIF-8@HKUST-1</w:t>
      </w:r>
    </w:p>
    <w:p w14:paraId="1EF2C8A6" w14:textId="059A71B3" w:rsidR="00547197" w:rsidRDefault="00277ACF" w:rsidP="00257F26">
      <w:pPr>
        <w:spacing w:before="240" w:after="240"/>
        <w:jc w:val="both"/>
        <w:rPr>
          <w:b/>
          <w:bCs/>
        </w:rPr>
      </w:pPr>
      <w:bookmarkStart w:id="7" w:name="_Hlk211036566"/>
      <w:r w:rsidRPr="00277ACF">
        <w:rPr>
          <w:b/>
          <w:bCs/>
        </w:rPr>
        <w:t>Note S</w:t>
      </w:r>
      <w:r w:rsidR="00D22A3F" w:rsidRPr="004D4A74">
        <w:rPr>
          <w:b/>
          <w:bCs/>
        </w:rPr>
        <w:t xml:space="preserve">11 </w:t>
      </w:r>
      <w:r w:rsidR="000327D3" w:rsidRPr="004D4A74">
        <w:rPr>
          <w:b/>
          <w:bCs/>
        </w:rPr>
        <w:t>Thermal stability</w:t>
      </w:r>
      <w:r w:rsidR="00D22A3F" w:rsidRPr="004D4A74">
        <w:rPr>
          <w:b/>
          <w:bCs/>
          <w:lang w:val="vi-VN"/>
        </w:rPr>
        <w:t xml:space="preserve"> of core-shell MOF-based QSSE designed by 1D ZIF-8 and HKUST-1</w:t>
      </w:r>
      <w:bookmarkEnd w:id="7"/>
    </w:p>
    <w:p w14:paraId="6985DFBB" w14:textId="1E42B9D7" w:rsidR="00257F26" w:rsidRDefault="00D22A3F" w:rsidP="00257F26">
      <w:pPr>
        <w:spacing w:before="120" w:after="120"/>
        <w:jc w:val="both"/>
      </w:pPr>
      <w:r w:rsidRPr="004D4A74">
        <w:rPr>
          <w:lang w:val="vi-VN"/>
        </w:rPr>
        <w:t>To assess thermal stability under operating conditions, TGA coupled with GC analysis was performed for two representative samples: (i) the GHF@ZIF-8@HKUST-1 QSSE and (ii) a conventional liquid electrolyte consisting of 1 M LiTFSI in PC (</w:t>
      </w:r>
      <w:r w:rsidR="00277ACF" w:rsidRPr="00257F26">
        <w:rPr>
          <w:lang w:val="vi-VN"/>
        </w:rPr>
        <w:t>Fig. S</w:t>
      </w:r>
      <w:r w:rsidRPr="00257F26">
        <w:rPr>
          <w:lang w:val="vi-VN"/>
        </w:rPr>
        <w:t>11</w:t>
      </w:r>
      <w:r w:rsidRPr="004D4A74">
        <w:rPr>
          <w:lang w:val="vi-VN"/>
        </w:rPr>
        <w:t>). Both were held at 100 °C for 2 h. The QSSE exhibited only a slight weight loss of 0.89%, and GC analysis identified the released gas mainly as O</w:t>
      </w:r>
      <w:r w:rsidRPr="004D4A74">
        <w:rPr>
          <w:vertAlign w:val="subscript"/>
          <w:lang w:val="vi-VN"/>
        </w:rPr>
        <w:t>2</w:t>
      </w:r>
      <w:r w:rsidR="00420E59">
        <w:rPr>
          <w:lang w:val="vi-VN"/>
        </w:rPr>
        <w:t xml:space="preserve"> (</w:t>
      </w:r>
      <w:r w:rsidRPr="004D4A74">
        <w:rPr>
          <w:lang w:val="vi-VN"/>
        </w:rPr>
        <w:t>Figs.</w:t>
      </w:r>
      <w:r w:rsidR="00420E59">
        <w:rPr>
          <w:lang w:val="vi-VN"/>
        </w:rPr>
        <w:t xml:space="preserve"> S</w:t>
      </w:r>
      <w:r w:rsidRPr="004D4A74">
        <w:rPr>
          <w:lang w:val="vi-VN"/>
        </w:rPr>
        <w:t>11b,</w:t>
      </w:r>
      <w:r w:rsidR="00420E59">
        <w:rPr>
          <w:lang w:val="vi-VN"/>
        </w:rPr>
        <w:t xml:space="preserve"> </w:t>
      </w:r>
      <w:r w:rsidRPr="004D4A74">
        <w:rPr>
          <w:lang w:val="vi-VN"/>
        </w:rPr>
        <w:t xml:space="preserve">e), which we attribute to pre-adsorbed species in the pores rather than solvent evaporation. No signals from PC were detected, indicating that solvent molecules confined within the MOF channels are strongly stabilized. By contrast, the liquid electrolyte showed a dramatic 35.67% weight loss, and GC analysis confirmed that the evolved gas was PC vapor (Figs. </w:t>
      </w:r>
      <w:r w:rsidR="006A3CB1">
        <w:rPr>
          <w:lang w:val="vi-VN"/>
        </w:rPr>
        <w:t>S</w:t>
      </w:r>
      <w:r w:rsidRPr="004D4A74">
        <w:rPr>
          <w:lang w:val="vi-VN"/>
        </w:rPr>
        <w:t>11d,</w:t>
      </w:r>
      <w:r w:rsidR="006A3CB1">
        <w:rPr>
          <w:lang w:val="vi-VN"/>
        </w:rPr>
        <w:t xml:space="preserve"> </w:t>
      </w:r>
      <w:r w:rsidRPr="004D4A74">
        <w:rPr>
          <w:lang w:val="vi-VN"/>
        </w:rPr>
        <w:t xml:space="preserve">f), directly evidencing the high volatility of free solvent. </w:t>
      </w:r>
      <w:r w:rsidRPr="004D4A74">
        <w:rPr>
          <w:rStyle w:val="Strong"/>
          <w:b w:val="0"/>
          <w:bCs w:val="0"/>
        </w:rPr>
        <w:t xml:space="preserve">To further validate these results, we extended TGA–GC measurements up to 150 °C </w:t>
      </w:r>
      <w:r w:rsidRPr="00257F26">
        <w:rPr>
          <w:rStyle w:val="Strong"/>
          <w:b w:val="0"/>
          <w:bCs w:val="0"/>
        </w:rPr>
        <w:t>(</w:t>
      </w:r>
      <w:r w:rsidR="00277ACF" w:rsidRPr="00257F26">
        <w:rPr>
          <w:rStyle w:val="Strong"/>
          <w:b w:val="0"/>
          <w:bCs w:val="0"/>
        </w:rPr>
        <w:t>F</w:t>
      </w:r>
      <w:r w:rsidR="00257F26" w:rsidRPr="00257F26">
        <w:rPr>
          <w:rStyle w:val="Strong"/>
          <w:b w:val="0"/>
          <w:bCs w:val="0"/>
        </w:rPr>
        <w:t>ig. S</w:t>
      </w:r>
      <w:r w:rsidRPr="00257F26">
        <w:rPr>
          <w:rStyle w:val="Strong"/>
          <w:b w:val="0"/>
          <w:bCs w:val="0"/>
        </w:rPr>
        <w:t>12</w:t>
      </w:r>
      <w:r w:rsidRPr="004D4A74">
        <w:rPr>
          <w:rStyle w:val="Strong"/>
          <w:b w:val="0"/>
          <w:bCs w:val="0"/>
        </w:rPr>
        <w:t>). In this broader temperature range, bulk LE began releasing PC gas at relatively low temperatures, and the amount of PC vapor increased sharply as the temperature rose</w:t>
      </w:r>
      <w:r w:rsidRPr="004D4A74">
        <w:rPr>
          <w:rStyle w:val="Strong"/>
          <w:b w:val="0"/>
          <w:bCs w:val="0"/>
          <w:lang w:val="vi-VN"/>
        </w:rPr>
        <w:t xml:space="preserve"> </w:t>
      </w:r>
      <w:r w:rsidRPr="004D4A74">
        <w:rPr>
          <w:rStyle w:val="Strong"/>
          <w:b w:val="0"/>
          <w:bCs w:val="0"/>
        </w:rPr>
        <w:t xml:space="preserve">(Figs. </w:t>
      </w:r>
      <w:r w:rsidR="006A3CB1">
        <w:rPr>
          <w:rStyle w:val="Strong"/>
          <w:b w:val="0"/>
          <w:bCs w:val="0"/>
        </w:rPr>
        <w:t>S</w:t>
      </w:r>
      <w:r w:rsidRPr="004D4A74">
        <w:rPr>
          <w:rStyle w:val="Strong"/>
          <w:b w:val="0"/>
          <w:bCs w:val="0"/>
        </w:rPr>
        <w:t>12d</w:t>
      </w:r>
      <w:r w:rsidRPr="004D4A74">
        <w:rPr>
          <w:rStyle w:val="Strong"/>
          <w:b w:val="0"/>
          <w:bCs w:val="0"/>
          <w:lang w:val="vi-VN"/>
        </w:rPr>
        <w:t>,</w:t>
      </w:r>
      <w:r w:rsidR="006A3CB1">
        <w:rPr>
          <w:rStyle w:val="Strong"/>
          <w:b w:val="0"/>
          <w:bCs w:val="0"/>
          <w:lang w:val="vi-VN"/>
        </w:rPr>
        <w:t xml:space="preserve"> </w:t>
      </w:r>
      <w:r w:rsidRPr="004D4A74">
        <w:rPr>
          <w:rStyle w:val="Strong"/>
          <w:b w:val="0"/>
          <w:bCs w:val="0"/>
          <w:lang w:val="vi-VN"/>
        </w:rPr>
        <w:t>f,</w:t>
      </w:r>
      <w:r w:rsidR="006A3CB1">
        <w:rPr>
          <w:rStyle w:val="Strong"/>
          <w:b w:val="0"/>
          <w:bCs w:val="0"/>
          <w:lang w:val="vi-VN"/>
        </w:rPr>
        <w:t xml:space="preserve"> </w:t>
      </w:r>
      <w:r w:rsidRPr="004D4A74">
        <w:rPr>
          <w:rStyle w:val="Strong"/>
          <w:b w:val="0"/>
          <w:bCs w:val="0"/>
          <w:lang w:val="vi-VN"/>
        </w:rPr>
        <w:t>g</w:t>
      </w:r>
      <w:r w:rsidRPr="004D4A74">
        <w:rPr>
          <w:rStyle w:val="Strong"/>
          <w:b w:val="0"/>
          <w:bCs w:val="0"/>
        </w:rPr>
        <w:t>). At around 150 °C, additional decomposition gases such as CO</w:t>
      </w:r>
      <w:r w:rsidRPr="004D4A74">
        <w:rPr>
          <w:rStyle w:val="Strong"/>
          <w:b w:val="0"/>
          <w:bCs w:val="0"/>
          <w:vertAlign w:val="subscript"/>
        </w:rPr>
        <w:t>2</w:t>
      </w:r>
      <w:r w:rsidRPr="004D4A74">
        <w:rPr>
          <w:rStyle w:val="Strong"/>
          <w:b w:val="0"/>
          <w:bCs w:val="0"/>
        </w:rPr>
        <w:t xml:space="preserve"> and CO were also detected</w:t>
      </w:r>
      <w:r w:rsidRPr="004D4A74">
        <w:rPr>
          <w:rStyle w:val="Strong"/>
          <w:b w:val="0"/>
          <w:bCs w:val="0"/>
          <w:lang w:val="vi-VN"/>
        </w:rPr>
        <w:t xml:space="preserve"> </w:t>
      </w:r>
      <w:r w:rsidR="006A3CB1">
        <w:rPr>
          <w:rStyle w:val="Strong"/>
          <w:b w:val="0"/>
          <w:bCs w:val="0"/>
        </w:rPr>
        <w:t>(</w:t>
      </w:r>
      <w:r w:rsidRPr="004D4A74">
        <w:rPr>
          <w:rStyle w:val="Strong"/>
          <w:b w:val="0"/>
          <w:bCs w:val="0"/>
        </w:rPr>
        <w:t xml:space="preserve">Figs. </w:t>
      </w:r>
      <w:r w:rsidR="006A3CB1">
        <w:rPr>
          <w:rStyle w:val="Strong"/>
          <w:b w:val="0"/>
          <w:bCs w:val="0"/>
        </w:rPr>
        <w:t>S</w:t>
      </w:r>
      <w:r w:rsidRPr="004D4A74">
        <w:rPr>
          <w:rStyle w:val="Strong"/>
          <w:b w:val="0"/>
          <w:bCs w:val="0"/>
        </w:rPr>
        <w:t>12d</w:t>
      </w:r>
      <w:r w:rsidR="006A3CB1">
        <w:rPr>
          <w:rStyle w:val="Strong"/>
          <w:b w:val="0"/>
          <w:bCs w:val="0"/>
        </w:rPr>
        <w:t xml:space="preserve"> </w:t>
      </w:r>
      <w:r w:rsidRPr="004D4A74">
        <w:rPr>
          <w:rStyle w:val="Strong"/>
          <w:b w:val="0"/>
          <w:bCs w:val="0"/>
          <w:lang w:val="vi-VN"/>
        </w:rPr>
        <w:t>,h</w:t>
      </w:r>
      <w:r w:rsidRPr="004D4A74">
        <w:rPr>
          <w:rStyle w:val="Strong"/>
          <w:b w:val="0"/>
          <w:bCs w:val="0"/>
        </w:rPr>
        <w:t>), confirming severe thermal decomposition</w:t>
      </w:r>
      <w:r w:rsidRPr="004D4A74">
        <w:rPr>
          <w:rStyle w:val="Strong"/>
          <w:b w:val="0"/>
          <w:bCs w:val="0"/>
          <w:lang w:val="vi-VN"/>
        </w:rPr>
        <w:t xml:space="preserve"> </w:t>
      </w:r>
      <w:r w:rsidRPr="004D4A74">
        <w:rPr>
          <w:rStyle w:val="Strong"/>
          <w:b w:val="0"/>
          <w:bCs w:val="0"/>
        </w:rPr>
        <w:t>of the free electrolyte. In contrast, the GHF@ZIF-8@HKUST-1 QSSE delayed the onset of PC gas release until nearly 150 °C, and even then, the amount was negligible with no CO</w:t>
      </w:r>
      <w:r w:rsidRPr="004D4A74">
        <w:rPr>
          <w:rStyle w:val="Strong"/>
          <w:b w:val="0"/>
          <w:bCs w:val="0"/>
          <w:vertAlign w:val="subscript"/>
        </w:rPr>
        <w:t>2</w:t>
      </w:r>
      <w:r w:rsidRPr="004D4A74">
        <w:rPr>
          <w:rStyle w:val="Strong"/>
          <w:b w:val="0"/>
          <w:bCs w:val="0"/>
        </w:rPr>
        <w:t>/CO signals observed</w:t>
      </w:r>
      <w:r w:rsidRPr="004D4A74">
        <w:rPr>
          <w:rStyle w:val="Strong"/>
          <w:b w:val="0"/>
          <w:bCs w:val="0"/>
          <w:lang w:val="vi-VN"/>
        </w:rPr>
        <w:t xml:space="preserve"> </w:t>
      </w:r>
      <w:r w:rsidRPr="004D4A74">
        <w:rPr>
          <w:rStyle w:val="Strong"/>
          <w:b w:val="0"/>
          <w:bCs w:val="0"/>
        </w:rPr>
        <w:t xml:space="preserve">(Figs. </w:t>
      </w:r>
      <w:r w:rsidR="006A3CB1">
        <w:rPr>
          <w:rStyle w:val="Strong"/>
          <w:b w:val="0"/>
          <w:bCs w:val="0"/>
        </w:rPr>
        <w:t>S</w:t>
      </w:r>
      <w:r w:rsidRPr="004D4A74">
        <w:rPr>
          <w:rStyle w:val="Strong"/>
          <w:b w:val="0"/>
          <w:bCs w:val="0"/>
        </w:rPr>
        <w:t>12b</w:t>
      </w:r>
      <w:r w:rsidRPr="004D4A74">
        <w:rPr>
          <w:rStyle w:val="Strong"/>
          <w:b w:val="0"/>
          <w:bCs w:val="0"/>
          <w:lang w:val="vi-VN"/>
        </w:rPr>
        <w:t>,</w:t>
      </w:r>
      <w:r w:rsidR="00257F26">
        <w:rPr>
          <w:rStyle w:val="Strong"/>
          <w:b w:val="0"/>
          <w:bCs w:val="0"/>
          <w:lang w:val="vi-VN"/>
        </w:rPr>
        <w:t xml:space="preserve"> </w:t>
      </w:r>
      <w:r w:rsidRPr="004D4A74">
        <w:rPr>
          <w:rStyle w:val="Strong"/>
          <w:b w:val="0"/>
          <w:bCs w:val="0"/>
          <w:lang w:val="vi-VN"/>
        </w:rPr>
        <w:t>e</w:t>
      </w:r>
      <w:r w:rsidRPr="004D4A74">
        <w:rPr>
          <w:rStyle w:val="Strong"/>
          <w:b w:val="0"/>
          <w:bCs w:val="0"/>
        </w:rPr>
        <w:t>).</w:t>
      </w:r>
      <w:r w:rsidRPr="004D4A74">
        <w:rPr>
          <w:lang w:val="vi-VN"/>
        </w:rPr>
        <w:t xml:space="preserve"> This stark difference highlights the stabilizing effect of MOF confinement: solvent molecules immobilized in well-defined pores experience steric restriction and host–guest interactions that suppress evaporation, whereas free liquid solvent rapidly escapes at elevated temperature. Such thermal robustness of the QSSE explains its ability to maintain structure and composition, thereby supporting stable electrochemical cycling even under harsh conditions. </w:t>
      </w:r>
      <w:r w:rsidRPr="004D4A74">
        <w:t>The ability of the MOF</w:t>
      </w:r>
      <w:r w:rsidRPr="004D4A74">
        <w:rPr>
          <w:lang w:val="vi-VN"/>
        </w:rPr>
        <w:t xml:space="preserve">-based </w:t>
      </w:r>
      <w:r w:rsidRPr="004D4A74">
        <w:t>QSSE to suppress not only solvent loss but also secondary gas formation provides direct evidence for its enhanced safety and long-term reliability under high-temperature conditions.</w:t>
      </w:r>
      <w:bookmarkEnd w:id="6"/>
    </w:p>
    <w:p w14:paraId="0361C66C" w14:textId="1F03A2B6" w:rsidR="00547197" w:rsidRDefault="00F85E92" w:rsidP="00257F26">
      <w:pPr>
        <w:spacing w:before="120" w:after="120"/>
        <w:jc w:val="center"/>
      </w:pPr>
      <w:r w:rsidRPr="004D4A74">
        <w:rPr>
          <w:noProof/>
          <w:lang w:val="en-IN" w:eastAsia="en-IN"/>
        </w:rPr>
        <w:drawing>
          <wp:inline distT="0" distB="0" distL="0" distR="0" wp14:anchorId="27B81CA3" wp14:editId="57707B68">
            <wp:extent cx="5148208" cy="5215738"/>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cstate="print">
                      <a:extLst>
                        <a:ext uri="{28A0092B-C50C-407E-A947-70E740481C1C}">
                          <a14:useLocalDpi xmlns:a14="http://schemas.microsoft.com/office/drawing/2010/main" val="0"/>
                        </a:ext>
                      </a:extLst>
                    </a:blip>
                    <a:srcRect r="16840"/>
                    <a:stretch>
                      <a:fillRect/>
                    </a:stretch>
                  </pic:blipFill>
                  <pic:spPr bwMode="auto">
                    <a:xfrm>
                      <a:off x="0" y="0"/>
                      <a:ext cx="5162876" cy="5230598"/>
                    </a:xfrm>
                    <a:prstGeom prst="rect">
                      <a:avLst/>
                    </a:prstGeom>
                    <a:noFill/>
                    <a:ln>
                      <a:noFill/>
                    </a:ln>
                  </pic:spPr>
                </pic:pic>
              </a:graphicData>
            </a:graphic>
          </wp:inline>
        </w:drawing>
      </w:r>
    </w:p>
    <w:p w14:paraId="5905CE3C" w14:textId="77777777" w:rsidR="00547197" w:rsidRDefault="00547197" w:rsidP="00277ACF">
      <w:pPr>
        <w:spacing w:before="120" w:after="120"/>
        <w:jc w:val="center"/>
        <w:rPr>
          <w:rFonts w:eastAsia="Times New Roman"/>
        </w:rPr>
      </w:pPr>
    </w:p>
    <w:p w14:paraId="15322362" w14:textId="78AA1714" w:rsidR="00547197" w:rsidRDefault="00257F26" w:rsidP="00277ACF">
      <w:pPr>
        <w:spacing w:before="120" w:after="120"/>
        <w:jc w:val="both"/>
        <w:rPr>
          <w:rFonts w:eastAsiaTheme="minorEastAsia"/>
          <w:b/>
          <w:bCs/>
          <w:kern w:val="2"/>
          <w:lang w:val="vi-VN"/>
        </w:rPr>
      </w:pPr>
      <w:r>
        <w:rPr>
          <w:b/>
          <w:bCs/>
        </w:rPr>
        <w:t>Fig. S</w:t>
      </w:r>
      <w:r w:rsidR="00494B2D" w:rsidRPr="004D4A74">
        <w:rPr>
          <w:b/>
          <w:bCs/>
        </w:rPr>
        <w:t>11</w:t>
      </w:r>
      <w:r w:rsidR="00F85E92" w:rsidRPr="004D4A74">
        <w:rPr>
          <w:b/>
          <w:bCs/>
        </w:rPr>
        <w:t xml:space="preserve"> a</w:t>
      </w:r>
      <w:r w:rsidR="00F85E92" w:rsidRPr="004D4A74">
        <w:rPr>
          <w:b/>
          <w:bCs/>
          <w:lang w:val="vi-VN"/>
        </w:rPr>
        <w:t>,</w:t>
      </w:r>
      <w:r>
        <w:rPr>
          <w:b/>
          <w:bCs/>
          <w:lang w:val="vi-VN"/>
        </w:rPr>
        <w:t xml:space="preserve"> </w:t>
      </w:r>
      <w:r w:rsidR="00F85E92" w:rsidRPr="004D4A74">
        <w:rPr>
          <w:b/>
          <w:bCs/>
          <w:lang w:val="vi-VN"/>
        </w:rPr>
        <w:t xml:space="preserve">b, </w:t>
      </w:r>
      <w:r w:rsidR="00F85E92" w:rsidRPr="004D4A74">
        <w:t>Thermogravimetric analysis (TGA) curves of</w:t>
      </w:r>
      <w:r w:rsidR="00F85E92" w:rsidRPr="004D4A74">
        <w:rPr>
          <w:lang w:val="vi-VN"/>
        </w:rPr>
        <w:t xml:space="preserve"> GHF@ZIF-8@HKUST-1 QSSE (</w:t>
      </w:r>
      <w:r w:rsidR="00F85E92" w:rsidRPr="004D4A74">
        <w:rPr>
          <w:b/>
          <w:bCs/>
        </w:rPr>
        <w:t>a</w:t>
      </w:r>
      <w:r w:rsidR="00F85E92" w:rsidRPr="004D4A74">
        <w:rPr>
          <w:lang w:val="vi-VN"/>
        </w:rPr>
        <w:t xml:space="preserve">) </w:t>
      </w:r>
      <w:r w:rsidR="00F85E92" w:rsidRPr="004D4A74">
        <w:t xml:space="preserve">and </w:t>
      </w:r>
      <w:r w:rsidR="00F85E92" w:rsidRPr="004D4A74">
        <w:rPr>
          <w:lang w:val="vi-VN"/>
        </w:rPr>
        <w:t>bulk LE (</w:t>
      </w:r>
      <w:r w:rsidR="00F85E92" w:rsidRPr="004D4A74">
        <w:rPr>
          <w:b/>
          <w:bCs/>
        </w:rPr>
        <w:t>b</w:t>
      </w:r>
      <w:r w:rsidR="00F85E92" w:rsidRPr="004D4A74">
        <w:rPr>
          <w:lang w:val="vi-VN"/>
        </w:rPr>
        <w:t xml:space="preserve">). </w:t>
      </w:r>
      <w:r w:rsidR="00F85E92" w:rsidRPr="004D4A74">
        <w:rPr>
          <w:b/>
          <w:bCs/>
          <w:lang w:val="vi-VN"/>
        </w:rPr>
        <w:t xml:space="preserve">c,d, </w:t>
      </w:r>
      <w:r w:rsidR="00F85E92" w:rsidRPr="004D4A74">
        <w:rPr>
          <w:lang w:val="vi-VN"/>
        </w:rPr>
        <w:t>Total Ion Chromatograms (TIC) graphs of gas generated from GHF@ZIF-8@HKUST-1 QSSE (</w:t>
      </w:r>
      <w:r w:rsidR="00F85E92" w:rsidRPr="004D4A74">
        <w:rPr>
          <w:b/>
          <w:bCs/>
        </w:rPr>
        <w:t>c</w:t>
      </w:r>
      <w:r w:rsidR="00F85E92" w:rsidRPr="004D4A74">
        <w:rPr>
          <w:lang w:val="vi-VN"/>
        </w:rPr>
        <w:t xml:space="preserve">) </w:t>
      </w:r>
      <w:r w:rsidR="00F85E92" w:rsidRPr="004D4A74">
        <w:t xml:space="preserve">and </w:t>
      </w:r>
      <w:r w:rsidR="00F85E92" w:rsidRPr="004D4A74">
        <w:rPr>
          <w:lang w:val="vi-VN"/>
        </w:rPr>
        <w:t>bulk LE (</w:t>
      </w:r>
      <w:r w:rsidR="00F85E92" w:rsidRPr="004D4A74">
        <w:rPr>
          <w:b/>
          <w:bCs/>
        </w:rPr>
        <w:t>d</w:t>
      </w:r>
      <w:r w:rsidR="00F85E92" w:rsidRPr="004D4A74">
        <w:rPr>
          <w:lang w:val="vi-VN"/>
        </w:rPr>
        <w:t xml:space="preserve">). </w:t>
      </w:r>
      <w:r w:rsidR="00F85E92" w:rsidRPr="004D4A74">
        <w:rPr>
          <w:b/>
          <w:bCs/>
          <w:lang w:val="vi-VN"/>
        </w:rPr>
        <w:t>e,</w:t>
      </w:r>
      <w:r w:rsidR="006A3CB1">
        <w:rPr>
          <w:b/>
          <w:bCs/>
          <w:lang w:val="vi-VN"/>
        </w:rPr>
        <w:t xml:space="preserve"> </w:t>
      </w:r>
      <w:r w:rsidR="00F85E92" w:rsidRPr="004D4A74">
        <w:rPr>
          <w:b/>
          <w:bCs/>
          <w:lang w:val="vi-VN"/>
        </w:rPr>
        <w:t xml:space="preserve">f, </w:t>
      </w:r>
      <w:r w:rsidR="00F85E92" w:rsidRPr="004D4A74">
        <w:rPr>
          <w:lang w:val="vi-VN"/>
        </w:rPr>
        <w:t>Gas species identified by gas chromatography–mass spectrometry (GC–MS) for GHF@ZIF-8@HKUST-1 QSSE (</w:t>
      </w:r>
      <w:r w:rsidR="00F85E92" w:rsidRPr="004D4A74">
        <w:rPr>
          <w:b/>
          <w:bCs/>
        </w:rPr>
        <w:t>e</w:t>
      </w:r>
      <w:r w:rsidR="00F85E92" w:rsidRPr="004D4A74">
        <w:rPr>
          <w:lang w:val="vi-VN"/>
        </w:rPr>
        <w:t xml:space="preserve">) </w:t>
      </w:r>
      <w:r w:rsidR="00F85E92" w:rsidRPr="004D4A74">
        <w:t xml:space="preserve">and </w:t>
      </w:r>
      <w:r w:rsidR="00F85E92" w:rsidRPr="004D4A74">
        <w:rPr>
          <w:lang w:val="vi-VN"/>
        </w:rPr>
        <w:t>bulk LE (</w:t>
      </w:r>
      <w:r w:rsidR="00F85E92" w:rsidRPr="004D4A74">
        <w:rPr>
          <w:b/>
          <w:bCs/>
        </w:rPr>
        <w:t>f</w:t>
      </w:r>
      <w:r w:rsidR="00F85E92" w:rsidRPr="004D4A74">
        <w:rPr>
          <w:lang w:val="vi-VN"/>
        </w:rPr>
        <w:t>).</w:t>
      </w:r>
      <w:r w:rsidR="00F85E92" w:rsidRPr="004D4A74">
        <w:rPr>
          <w:b/>
          <w:bCs/>
          <w:lang w:val="vi-VN"/>
        </w:rPr>
        <w:t xml:space="preserve"> </w:t>
      </w:r>
      <w:r w:rsidR="00F85E92" w:rsidRPr="004D4A74">
        <w:t>The sample temperature was increased from room temperature to 100 °C at a heating rate of 10 °C min⁻¹ and then maintained at 100</w:t>
      </w:r>
      <w:r>
        <w:t xml:space="preserve"> °C for 2 h</w:t>
      </w:r>
    </w:p>
    <w:p w14:paraId="0F72BA00" w14:textId="77777777" w:rsidR="005F42ED" w:rsidRDefault="005F42ED" w:rsidP="00277ACF">
      <w:pPr>
        <w:spacing w:before="120" w:after="120"/>
        <w:rPr>
          <w:rFonts w:eastAsia="Yu Mincho"/>
        </w:rPr>
      </w:pPr>
    </w:p>
    <w:p w14:paraId="125B72F5" w14:textId="77777777" w:rsidR="005F42ED" w:rsidRDefault="005F42ED" w:rsidP="00277ACF">
      <w:pPr>
        <w:spacing w:before="120" w:after="120"/>
        <w:rPr>
          <w:rFonts w:eastAsia="Yu Mincho"/>
        </w:rPr>
      </w:pPr>
    </w:p>
    <w:p w14:paraId="4FB2F5D0" w14:textId="77777777" w:rsidR="005F42ED" w:rsidRDefault="005F42ED" w:rsidP="00277ACF">
      <w:pPr>
        <w:spacing w:before="120" w:after="120"/>
        <w:rPr>
          <w:rFonts w:eastAsia="Yu Mincho"/>
        </w:rPr>
      </w:pPr>
    </w:p>
    <w:p w14:paraId="73C0C259" w14:textId="77777777" w:rsidR="005F42ED" w:rsidRDefault="005F42ED" w:rsidP="00277ACF">
      <w:pPr>
        <w:spacing w:before="120" w:after="120"/>
        <w:rPr>
          <w:rFonts w:eastAsia="Yu Mincho"/>
        </w:rPr>
      </w:pPr>
    </w:p>
    <w:p w14:paraId="2FD984EC" w14:textId="03B28C65" w:rsidR="00547197" w:rsidRDefault="00411DC2" w:rsidP="00277ACF">
      <w:pPr>
        <w:spacing w:before="120" w:after="120"/>
        <w:rPr>
          <w:rFonts w:eastAsia="Times New Roman"/>
        </w:rPr>
      </w:pPr>
      <w:r w:rsidRPr="004D4A74">
        <w:rPr>
          <w:rFonts w:eastAsia="Times New Roman"/>
          <w:noProof/>
          <w:lang w:val="en-IN" w:eastAsia="en-IN"/>
        </w:rPr>
        <w:drawing>
          <wp:inline distT="0" distB="0" distL="0" distR="0" wp14:anchorId="1BB5B2BC" wp14:editId="1A80C8FD">
            <wp:extent cx="5776595" cy="455736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82154" cy="4561755"/>
                    </a:xfrm>
                    <a:prstGeom prst="rect">
                      <a:avLst/>
                    </a:prstGeom>
                    <a:noFill/>
                    <a:ln>
                      <a:noFill/>
                    </a:ln>
                  </pic:spPr>
                </pic:pic>
              </a:graphicData>
            </a:graphic>
          </wp:inline>
        </w:drawing>
      </w:r>
    </w:p>
    <w:p w14:paraId="17833AA7" w14:textId="77777777" w:rsidR="005F42ED" w:rsidRDefault="005F42ED" w:rsidP="00277ACF">
      <w:pPr>
        <w:spacing w:before="120" w:after="120"/>
        <w:jc w:val="both"/>
        <w:rPr>
          <w:b/>
          <w:bCs/>
          <w:color w:val="000000" w:themeColor="text1"/>
        </w:rPr>
      </w:pPr>
    </w:p>
    <w:p w14:paraId="4818F78F" w14:textId="777D2862" w:rsidR="00547197" w:rsidRDefault="005F42ED" w:rsidP="00277ACF">
      <w:pPr>
        <w:spacing w:before="120" w:after="120"/>
        <w:jc w:val="both"/>
        <w:rPr>
          <w:rFonts w:eastAsiaTheme="minorEastAsia"/>
          <w:b/>
          <w:bCs/>
          <w:color w:val="000000" w:themeColor="text1"/>
          <w:kern w:val="2"/>
          <w:lang w:val="vi-VN"/>
        </w:rPr>
      </w:pPr>
      <w:r>
        <w:rPr>
          <w:b/>
          <w:bCs/>
          <w:color w:val="000000" w:themeColor="text1"/>
        </w:rPr>
        <w:t>Fig. S</w:t>
      </w:r>
      <w:r w:rsidR="00411DC2" w:rsidRPr="004D4A74">
        <w:rPr>
          <w:b/>
          <w:bCs/>
          <w:color w:val="000000" w:themeColor="text1"/>
        </w:rPr>
        <w:t>12 a</w:t>
      </w:r>
      <w:r w:rsidR="00411DC2" w:rsidRPr="004D4A74">
        <w:rPr>
          <w:b/>
          <w:bCs/>
          <w:color w:val="000000" w:themeColor="text1"/>
          <w:lang w:val="vi-VN"/>
        </w:rPr>
        <w:t>,</w:t>
      </w:r>
      <w:r>
        <w:rPr>
          <w:b/>
          <w:bCs/>
          <w:color w:val="000000" w:themeColor="text1"/>
          <w:lang w:val="vi-VN"/>
        </w:rPr>
        <w:t xml:space="preserve"> </w:t>
      </w:r>
      <w:r w:rsidR="00411DC2" w:rsidRPr="004D4A74">
        <w:rPr>
          <w:b/>
          <w:bCs/>
          <w:color w:val="000000" w:themeColor="text1"/>
          <w:lang w:val="vi-VN"/>
        </w:rPr>
        <w:t xml:space="preserve">c, </w:t>
      </w:r>
      <w:r w:rsidR="00411DC2" w:rsidRPr="004D4A74">
        <w:rPr>
          <w:color w:val="000000" w:themeColor="text1"/>
        </w:rPr>
        <w:t>Thermogravimetric analysis (TGA) curves of</w:t>
      </w:r>
      <w:r w:rsidR="00411DC2" w:rsidRPr="004D4A74">
        <w:rPr>
          <w:color w:val="000000" w:themeColor="text1"/>
          <w:lang w:val="vi-VN"/>
        </w:rPr>
        <w:t xml:space="preserve"> GHF@ZIF-8@HKUST-1 QSSE (</w:t>
      </w:r>
      <w:r w:rsidR="00411DC2" w:rsidRPr="004D4A74">
        <w:rPr>
          <w:b/>
          <w:bCs/>
          <w:color w:val="000000" w:themeColor="text1"/>
        </w:rPr>
        <w:t>a</w:t>
      </w:r>
      <w:r w:rsidR="00411DC2" w:rsidRPr="004D4A74">
        <w:rPr>
          <w:color w:val="000000" w:themeColor="text1"/>
          <w:lang w:val="vi-VN"/>
        </w:rPr>
        <w:t xml:space="preserve">) </w:t>
      </w:r>
      <w:r w:rsidR="00411DC2" w:rsidRPr="004D4A74">
        <w:rPr>
          <w:color w:val="000000" w:themeColor="text1"/>
        </w:rPr>
        <w:t xml:space="preserve">and </w:t>
      </w:r>
      <w:r w:rsidR="00411DC2" w:rsidRPr="004D4A74">
        <w:rPr>
          <w:color w:val="000000" w:themeColor="text1"/>
          <w:lang w:val="vi-VN"/>
        </w:rPr>
        <w:t>bulk LE (</w:t>
      </w:r>
      <w:r w:rsidR="00411DC2" w:rsidRPr="004D4A74">
        <w:rPr>
          <w:b/>
          <w:bCs/>
          <w:color w:val="000000" w:themeColor="text1"/>
          <w:lang w:val="vi-VN"/>
        </w:rPr>
        <w:t>c</w:t>
      </w:r>
      <w:r w:rsidR="00411DC2" w:rsidRPr="004D4A74">
        <w:rPr>
          <w:color w:val="000000" w:themeColor="text1"/>
          <w:lang w:val="vi-VN"/>
        </w:rPr>
        <w:t xml:space="preserve">). </w:t>
      </w:r>
      <w:r w:rsidR="00411DC2" w:rsidRPr="004D4A74">
        <w:rPr>
          <w:b/>
          <w:bCs/>
          <w:color w:val="000000" w:themeColor="text1"/>
          <w:lang w:val="vi-VN"/>
        </w:rPr>
        <w:t xml:space="preserve">b,d, </w:t>
      </w:r>
      <w:r w:rsidR="00411DC2" w:rsidRPr="004D4A74">
        <w:rPr>
          <w:color w:val="000000" w:themeColor="text1"/>
          <w:lang w:val="vi-VN"/>
        </w:rPr>
        <w:t>Total Ion Chromatograms (TIC) graphs of gas generated from GHF@ZIF-8@HKUST-1 QSSE (</w:t>
      </w:r>
      <w:r w:rsidR="00411DC2" w:rsidRPr="004D4A74">
        <w:rPr>
          <w:b/>
          <w:bCs/>
          <w:color w:val="000000" w:themeColor="text1"/>
        </w:rPr>
        <w:t>b</w:t>
      </w:r>
      <w:r w:rsidR="00411DC2" w:rsidRPr="004D4A74">
        <w:rPr>
          <w:color w:val="000000" w:themeColor="text1"/>
          <w:lang w:val="vi-VN"/>
        </w:rPr>
        <w:t xml:space="preserve">) </w:t>
      </w:r>
      <w:r w:rsidR="00411DC2" w:rsidRPr="004D4A74">
        <w:rPr>
          <w:color w:val="000000" w:themeColor="text1"/>
        </w:rPr>
        <w:t xml:space="preserve">and </w:t>
      </w:r>
      <w:r w:rsidR="00411DC2" w:rsidRPr="004D4A74">
        <w:rPr>
          <w:color w:val="000000" w:themeColor="text1"/>
          <w:lang w:val="vi-VN"/>
        </w:rPr>
        <w:t>bulk LE (</w:t>
      </w:r>
      <w:r w:rsidR="00411DC2" w:rsidRPr="004D4A74">
        <w:rPr>
          <w:b/>
          <w:bCs/>
          <w:color w:val="000000" w:themeColor="text1"/>
        </w:rPr>
        <w:t>d</w:t>
      </w:r>
      <w:r w:rsidR="00411DC2" w:rsidRPr="004D4A74">
        <w:rPr>
          <w:color w:val="000000" w:themeColor="text1"/>
          <w:lang w:val="vi-VN"/>
        </w:rPr>
        <w:t xml:space="preserve">). </w:t>
      </w:r>
      <w:r w:rsidR="00411DC2" w:rsidRPr="004D4A74">
        <w:rPr>
          <w:b/>
          <w:bCs/>
          <w:color w:val="000000" w:themeColor="text1"/>
          <w:lang w:val="vi-VN"/>
        </w:rPr>
        <w:t xml:space="preserve">e-h, </w:t>
      </w:r>
      <w:r w:rsidR="00411DC2" w:rsidRPr="004D4A74">
        <w:rPr>
          <w:color w:val="000000" w:themeColor="text1"/>
          <w:lang w:val="vi-VN"/>
        </w:rPr>
        <w:t>Gas species identified by gas chromatography–mass spectrometry (GC–MS) for GHF@ZIF-8@HKUST-1 QSSE (</w:t>
      </w:r>
      <w:r w:rsidR="00411DC2" w:rsidRPr="004D4A74">
        <w:rPr>
          <w:b/>
          <w:bCs/>
          <w:color w:val="000000" w:themeColor="text1"/>
        </w:rPr>
        <w:t>e</w:t>
      </w:r>
      <w:r w:rsidR="00411DC2" w:rsidRPr="004D4A74">
        <w:rPr>
          <w:color w:val="000000" w:themeColor="text1"/>
          <w:lang w:val="vi-VN"/>
        </w:rPr>
        <w:t xml:space="preserve">) </w:t>
      </w:r>
      <w:r w:rsidR="00411DC2" w:rsidRPr="004D4A74">
        <w:rPr>
          <w:color w:val="000000" w:themeColor="text1"/>
        </w:rPr>
        <w:t xml:space="preserve">and </w:t>
      </w:r>
      <w:r w:rsidR="00411DC2" w:rsidRPr="004D4A74">
        <w:rPr>
          <w:color w:val="000000" w:themeColor="text1"/>
          <w:lang w:val="vi-VN"/>
        </w:rPr>
        <w:t>bulk LE (</w:t>
      </w:r>
      <w:r w:rsidR="00411DC2" w:rsidRPr="004D4A74">
        <w:rPr>
          <w:b/>
          <w:bCs/>
          <w:color w:val="000000" w:themeColor="text1"/>
        </w:rPr>
        <w:t>f</w:t>
      </w:r>
      <w:r w:rsidR="00411DC2" w:rsidRPr="004D4A74">
        <w:rPr>
          <w:b/>
          <w:bCs/>
          <w:color w:val="000000" w:themeColor="text1"/>
          <w:lang w:val="vi-VN"/>
        </w:rPr>
        <w:t>-h</w:t>
      </w:r>
      <w:r w:rsidR="00411DC2" w:rsidRPr="004D4A74">
        <w:rPr>
          <w:color w:val="000000" w:themeColor="text1"/>
          <w:lang w:val="vi-VN"/>
        </w:rPr>
        <w:t>).</w:t>
      </w:r>
      <w:r w:rsidR="00411DC2" w:rsidRPr="004D4A74">
        <w:rPr>
          <w:b/>
          <w:bCs/>
          <w:color w:val="000000" w:themeColor="text1"/>
          <w:lang w:val="vi-VN"/>
        </w:rPr>
        <w:t xml:space="preserve"> </w:t>
      </w:r>
      <w:r w:rsidR="00411DC2" w:rsidRPr="004D4A74">
        <w:rPr>
          <w:color w:val="000000" w:themeColor="text1"/>
        </w:rPr>
        <w:t>The sample temperature was increased from room temperature to 150 °C at a heating rate of 10 °C min⁻¹</w:t>
      </w:r>
    </w:p>
    <w:p w14:paraId="5F01BA29" w14:textId="77777777" w:rsidR="00547197" w:rsidRDefault="00797771" w:rsidP="00277ACF">
      <w:pPr>
        <w:pStyle w:val="NormalWeb"/>
        <w:spacing w:before="120" w:beforeAutospacing="0" w:after="120" w:afterAutospacing="0"/>
      </w:pPr>
      <w:r w:rsidRPr="004D4A74">
        <w:rPr>
          <w:noProof/>
          <w:lang w:val="en-IN" w:eastAsia="en-IN"/>
        </w:rPr>
        <w:drawing>
          <wp:inline distT="0" distB="0" distL="0" distR="0" wp14:anchorId="510B233A" wp14:editId="63DA8406">
            <wp:extent cx="5559931" cy="5040172"/>
            <wp:effectExtent l="0" t="0" r="317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76031" cy="5054767"/>
                    </a:xfrm>
                    <a:prstGeom prst="rect">
                      <a:avLst/>
                    </a:prstGeom>
                    <a:noFill/>
                    <a:ln>
                      <a:noFill/>
                    </a:ln>
                  </pic:spPr>
                </pic:pic>
              </a:graphicData>
            </a:graphic>
          </wp:inline>
        </w:drawing>
      </w:r>
    </w:p>
    <w:p w14:paraId="0264A890" w14:textId="5DA238DE" w:rsidR="00547197" w:rsidRDefault="005F42ED" w:rsidP="00277ACF">
      <w:pPr>
        <w:spacing w:before="120" w:after="120"/>
        <w:jc w:val="both"/>
      </w:pPr>
      <w:r>
        <w:rPr>
          <w:b/>
          <w:bCs/>
        </w:rPr>
        <w:t>Fig. S</w:t>
      </w:r>
      <w:r w:rsidR="00912239" w:rsidRPr="004D4A74">
        <w:rPr>
          <w:b/>
          <w:bCs/>
        </w:rPr>
        <w:t>13</w:t>
      </w:r>
      <w:r w:rsidR="00797771" w:rsidRPr="004D4A74">
        <w:rPr>
          <w:b/>
          <w:bCs/>
        </w:rPr>
        <w:t xml:space="preserve"> a, </w:t>
      </w:r>
      <w:r w:rsidR="00797771" w:rsidRPr="004D4A74">
        <w:t>Linear sweep voltammetry (LSV) curves of</w:t>
      </w:r>
      <w:r w:rsidR="00797771" w:rsidRPr="004D4A74">
        <w:rPr>
          <w:lang w:val="vi-VN"/>
        </w:rPr>
        <w:t xml:space="preserve"> GF and different core-shell MOF-based QSSEs.</w:t>
      </w:r>
      <w:r w:rsidR="00797771" w:rsidRPr="004D4A74">
        <w:t xml:space="preserve"> </w:t>
      </w:r>
      <w:r w:rsidR="00797771" w:rsidRPr="004D4A74">
        <w:rPr>
          <w:b/>
          <w:bCs/>
        </w:rPr>
        <w:t>b</w:t>
      </w:r>
      <w:r w:rsidR="00797771" w:rsidRPr="004D4A74">
        <w:t>,</w:t>
      </w:r>
      <w:r w:rsidR="00797771" w:rsidRPr="004D4A74">
        <w:rPr>
          <w:b/>
          <w:bCs/>
        </w:rPr>
        <w:t xml:space="preserve"> </w:t>
      </w:r>
      <w:r w:rsidR="00797771" w:rsidRPr="004D4A74">
        <w:t>Raman spectra of</w:t>
      </w:r>
      <w:r w:rsidR="00797771" w:rsidRPr="004D4A74">
        <w:rPr>
          <w:lang w:val="vi-VN"/>
        </w:rPr>
        <w:t xml:space="preserve"> LiTFSI in PC and </w:t>
      </w:r>
      <w:r w:rsidR="00D6261F" w:rsidRPr="004D4A74">
        <w:rPr>
          <w:rFonts w:eastAsia="Times New Roman"/>
        </w:rPr>
        <w:t>GHF@ZIF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-1 (</w:t>
      </w:r>
      <w:r w:rsidR="00797771" w:rsidRPr="004D4A74">
        <w:rPr>
          <w:lang w:val="vi-VN"/>
        </w:rPr>
        <w:t>GHF@RDZ@</w:t>
      </w:r>
      <w:r w:rsidR="00D6261F" w:rsidRPr="004D4A74">
        <w:rPr>
          <w:lang w:val="vi-VN"/>
        </w:rPr>
        <w:t>TOH)</w:t>
      </w:r>
      <w:r w:rsidR="00797771" w:rsidRPr="004D4A74">
        <w:rPr>
          <w:lang w:val="vi-VN"/>
        </w:rPr>
        <w:t xml:space="preserve"> QSSE.</w:t>
      </w:r>
      <w:r w:rsidR="00797771" w:rsidRPr="004D4A74">
        <w:rPr>
          <w:b/>
          <w:bCs/>
        </w:rPr>
        <w:t xml:space="preserve"> c</w:t>
      </w:r>
      <w:r w:rsidR="00797771" w:rsidRPr="004D4A74">
        <w:rPr>
          <w:b/>
          <w:bCs/>
          <w:lang w:val="vi-VN"/>
        </w:rPr>
        <w:t>-</w:t>
      </w:r>
      <w:r w:rsidR="00797771" w:rsidRPr="004D4A74">
        <w:rPr>
          <w:b/>
          <w:bCs/>
        </w:rPr>
        <w:t>e</w:t>
      </w:r>
      <w:r w:rsidR="00797771" w:rsidRPr="004D4A74">
        <w:rPr>
          <w:b/>
          <w:bCs/>
          <w:lang w:val="vi-VN"/>
        </w:rPr>
        <w:t xml:space="preserve">, </w:t>
      </w:r>
      <w:r w:rsidR="00797771" w:rsidRPr="004D4A74">
        <w:t>Fourier transform infrared spectra (FT-IR) of pristine and activated</w:t>
      </w:r>
      <w:r w:rsidR="00797771" w:rsidRPr="004D4A74">
        <w:rPr>
          <w:lang w:val="vi-VN"/>
        </w:rPr>
        <w:t xml:space="preserve"> </w:t>
      </w:r>
      <w:r w:rsidR="00D6261F" w:rsidRPr="004D4A74">
        <w:rPr>
          <w:rFonts w:eastAsia="Times New Roman"/>
        </w:rPr>
        <w:t>GHF@ZIF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-1 (</w:t>
      </w:r>
      <w:r w:rsidR="00797771" w:rsidRPr="004D4A74">
        <w:rPr>
          <w:lang w:val="vi-VN"/>
        </w:rPr>
        <w:t>GHF@RDZ@</w:t>
      </w:r>
      <w:r w:rsidR="00D6261F" w:rsidRPr="004D4A74">
        <w:rPr>
          <w:lang w:val="vi-VN"/>
        </w:rPr>
        <w:t>TOH)</w:t>
      </w:r>
      <w:r w:rsidR="00797771" w:rsidRPr="004D4A74">
        <w:rPr>
          <w:lang w:val="vi-VN"/>
        </w:rPr>
        <w:t xml:space="preserve"> separators in high (</w:t>
      </w:r>
      <w:r w:rsidR="00797771" w:rsidRPr="004D4A74">
        <w:rPr>
          <w:b/>
          <w:bCs/>
        </w:rPr>
        <w:t>c</w:t>
      </w:r>
      <w:r w:rsidR="00797771" w:rsidRPr="004D4A74">
        <w:rPr>
          <w:lang w:val="vi-VN"/>
        </w:rPr>
        <w:t>), middle (</w:t>
      </w:r>
      <w:r w:rsidR="00797771" w:rsidRPr="004D4A74">
        <w:rPr>
          <w:b/>
          <w:bCs/>
        </w:rPr>
        <w:t>d</w:t>
      </w:r>
      <w:r w:rsidR="00797771" w:rsidRPr="004D4A74">
        <w:rPr>
          <w:lang w:val="vi-VN"/>
        </w:rPr>
        <w:t xml:space="preserve">), and </w:t>
      </w:r>
      <w:r w:rsidR="00797771" w:rsidRPr="004D4A74">
        <w:t>low</w:t>
      </w:r>
      <w:r w:rsidR="00797771" w:rsidRPr="004D4A74">
        <w:rPr>
          <w:lang w:val="vi-VN"/>
        </w:rPr>
        <w:t xml:space="preserve"> (</w:t>
      </w:r>
      <w:r w:rsidR="00797771" w:rsidRPr="004D4A74">
        <w:rPr>
          <w:b/>
          <w:bCs/>
        </w:rPr>
        <w:t>e</w:t>
      </w:r>
      <w:r>
        <w:rPr>
          <w:lang w:val="vi-VN"/>
        </w:rPr>
        <w:t>) wavenumber ranges</w:t>
      </w:r>
    </w:p>
    <w:p w14:paraId="16B184A1" w14:textId="77777777" w:rsidR="00547197" w:rsidRDefault="00B756DD" w:rsidP="00277ACF">
      <w:pPr>
        <w:spacing w:before="120" w:after="120"/>
        <w:jc w:val="both"/>
        <w:rPr>
          <w:b/>
          <w:bCs/>
        </w:rPr>
      </w:pPr>
      <w:r w:rsidRPr="004D4A74">
        <w:rPr>
          <w:b/>
          <w:bCs/>
          <w:noProof/>
          <w:lang w:val="en-IN" w:eastAsia="en-IN"/>
        </w:rPr>
        <w:drawing>
          <wp:inline distT="0" distB="0" distL="0" distR="0" wp14:anchorId="7E0E7226" wp14:editId="1B3A378A">
            <wp:extent cx="5501030" cy="23753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a:extLst>
                        <a:ext uri="{28A0092B-C50C-407E-A947-70E740481C1C}">
                          <a14:useLocalDpi xmlns:a14="http://schemas.microsoft.com/office/drawing/2010/main" val="0"/>
                        </a:ext>
                      </a:extLst>
                    </a:blip>
                    <a:srcRect r="23315" b="30718"/>
                    <a:stretch/>
                  </pic:blipFill>
                  <pic:spPr bwMode="auto">
                    <a:xfrm>
                      <a:off x="0" y="0"/>
                      <a:ext cx="5534834" cy="2389901"/>
                    </a:xfrm>
                    <a:prstGeom prst="rect">
                      <a:avLst/>
                    </a:prstGeom>
                    <a:noFill/>
                    <a:ln>
                      <a:noFill/>
                    </a:ln>
                    <a:extLst>
                      <a:ext uri="{53640926-AAD7-44D8-BBD7-CCE9431645EC}">
                        <a14:shadowObscured xmlns:a14="http://schemas.microsoft.com/office/drawing/2010/main"/>
                      </a:ext>
                    </a:extLst>
                  </pic:spPr>
                </pic:pic>
              </a:graphicData>
            </a:graphic>
          </wp:inline>
        </w:drawing>
      </w:r>
    </w:p>
    <w:p w14:paraId="4B293B5C" w14:textId="25FBC4FA" w:rsidR="00547197" w:rsidRDefault="005F42ED" w:rsidP="00277ACF">
      <w:pPr>
        <w:spacing w:before="120" w:after="120"/>
        <w:jc w:val="both"/>
        <w:rPr>
          <w:b/>
          <w:bCs/>
          <w:lang w:val="vi-VN"/>
        </w:rPr>
      </w:pPr>
      <w:r>
        <w:rPr>
          <w:b/>
          <w:bCs/>
        </w:rPr>
        <w:t>Fig. S</w:t>
      </w:r>
      <w:r w:rsidR="00912239" w:rsidRPr="004D4A74">
        <w:rPr>
          <w:b/>
          <w:bCs/>
        </w:rPr>
        <w:t>14</w:t>
      </w:r>
      <w:r w:rsidR="00797771" w:rsidRPr="004D4A74">
        <w:rPr>
          <w:b/>
          <w:bCs/>
          <w:lang w:val="vi-VN"/>
        </w:rPr>
        <w:t xml:space="preserve"> </w:t>
      </w:r>
      <w:r w:rsidR="00797771" w:rsidRPr="004D4A74">
        <w:rPr>
          <w:b/>
          <w:bCs/>
        </w:rPr>
        <w:t>a,</w:t>
      </w:r>
      <w:r w:rsidR="006A3CB1">
        <w:rPr>
          <w:b/>
          <w:bCs/>
        </w:rPr>
        <w:t xml:space="preserve"> </w:t>
      </w:r>
      <w:r w:rsidR="00797771" w:rsidRPr="004D4A74">
        <w:rPr>
          <w:b/>
          <w:bCs/>
        </w:rPr>
        <w:t>b</w:t>
      </w:r>
      <w:r w:rsidR="00797771" w:rsidRPr="004D4A74">
        <w:rPr>
          <w:b/>
          <w:bCs/>
          <w:lang w:val="vi-VN"/>
        </w:rPr>
        <w:t xml:space="preserve">, </w:t>
      </w:r>
      <w:r w:rsidR="00797771" w:rsidRPr="004D4A74">
        <w:t>Nyquist plots of</w:t>
      </w:r>
      <w:r w:rsidR="00797771" w:rsidRPr="004D4A74">
        <w:rPr>
          <w:lang w:val="vi-VN"/>
        </w:rPr>
        <w:t xml:space="preserve"> activated </w:t>
      </w:r>
      <w:r w:rsidR="00D6261F" w:rsidRPr="004D4A74">
        <w:rPr>
          <w:rFonts w:eastAsia="Times New Roman"/>
        </w:rPr>
        <w:t>GHF@ZIF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-1</w:t>
      </w:r>
      <w:r w:rsidR="009552F9" w:rsidRPr="004D4A74">
        <w:rPr>
          <w:rFonts w:eastAsia="Times New Roman"/>
          <w:lang w:val="vi-VN"/>
        </w:rPr>
        <w:t xml:space="preserve"> </w:t>
      </w:r>
      <w:r w:rsidR="00797771" w:rsidRPr="004D4A74">
        <w:rPr>
          <w:lang w:val="vi-VN"/>
        </w:rPr>
        <w:t xml:space="preserve">at various temperatures from 25 to 70 </w:t>
      </w:r>
      <w:r w:rsidR="00797771" w:rsidRPr="004D4A74">
        <w:rPr>
          <w:vertAlign w:val="superscript"/>
          <w:lang w:val="vi-VN"/>
        </w:rPr>
        <w:t>o</w:t>
      </w:r>
      <w:r w:rsidR="00797771" w:rsidRPr="004D4A74">
        <w:rPr>
          <w:lang w:val="vi-VN"/>
        </w:rPr>
        <w:t>C</w:t>
      </w:r>
      <w:r w:rsidR="00797771" w:rsidRPr="004D4A74">
        <w:t xml:space="preserve"> (</w:t>
      </w:r>
      <w:r w:rsidR="00797771" w:rsidRPr="004D4A74">
        <w:rPr>
          <w:b/>
          <w:bCs/>
        </w:rPr>
        <w:t>a</w:t>
      </w:r>
      <w:r w:rsidR="00797771" w:rsidRPr="004D4A74">
        <w:t>)</w:t>
      </w:r>
      <w:r w:rsidR="00797771" w:rsidRPr="004D4A74">
        <w:rPr>
          <w:vertAlign w:val="superscript"/>
          <w:lang w:val="vi-VN"/>
        </w:rPr>
        <w:t xml:space="preserve"> </w:t>
      </w:r>
      <w:r w:rsidR="00797771" w:rsidRPr="004D4A74">
        <w:rPr>
          <w:lang w:val="vi-VN"/>
        </w:rPr>
        <w:t xml:space="preserve">and </w:t>
      </w:r>
      <w:r w:rsidR="00797771" w:rsidRPr="004D4A74">
        <w:t xml:space="preserve">its </w:t>
      </w:r>
      <w:r w:rsidR="00797771" w:rsidRPr="004D4A74">
        <w:rPr>
          <w:lang w:val="vi-VN"/>
        </w:rPr>
        <w:t xml:space="preserve">corresponding </w:t>
      </w:r>
      <w:r w:rsidR="00797771" w:rsidRPr="004D4A74">
        <w:t>Arrhenius plot (</w:t>
      </w:r>
      <w:r w:rsidR="00797771" w:rsidRPr="004D4A74">
        <w:rPr>
          <w:b/>
          <w:bCs/>
        </w:rPr>
        <w:t>b</w:t>
      </w:r>
      <w:r w:rsidR="00797771" w:rsidRPr="004D4A74">
        <w:t>)</w:t>
      </w:r>
    </w:p>
    <w:p w14:paraId="017BDF07" w14:textId="421FFAD3" w:rsidR="00547197" w:rsidRDefault="00277ACF" w:rsidP="005F42ED">
      <w:pPr>
        <w:spacing w:before="240" w:after="240"/>
        <w:jc w:val="both"/>
        <w:rPr>
          <w:b/>
          <w:bCs/>
          <w:lang w:val="vi-VN"/>
        </w:rPr>
      </w:pPr>
      <w:bookmarkStart w:id="8" w:name="_Hlk211036582"/>
      <w:r w:rsidRPr="00277ACF">
        <w:rPr>
          <w:b/>
          <w:bCs/>
        </w:rPr>
        <w:t>Note S</w:t>
      </w:r>
      <w:r w:rsidR="000327D3" w:rsidRPr="004D4A74">
        <w:rPr>
          <w:b/>
          <w:bCs/>
        </w:rPr>
        <w:t>12</w:t>
      </w:r>
      <w:r w:rsidR="00D65D2A" w:rsidRPr="004D4A74">
        <w:rPr>
          <w:b/>
          <w:bCs/>
        </w:rPr>
        <w:t xml:space="preserve"> The</w:t>
      </w:r>
      <w:r w:rsidR="00D65D2A" w:rsidRPr="004D4A74">
        <w:rPr>
          <w:b/>
          <w:bCs/>
          <w:lang w:val="vi-VN"/>
        </w:rPr>
        <w:t xml:space="preserve"> effects of lattice mismatch between ZIF-8 core and HKUST-1 cell on Li⁺ and TFSI⁻ transport</w:t>
      </w:r>
      <w:bookmarkEnd w:id="8"/>
    </w:p>
    <w:p w14:paraId="78D8E3D5" w14:textId="6572ED53" w:rsidR="00547197" w:rsidRDefault="00D65D2A" w:rsidP="00277ACF">
      <w:pPr>
        <w:spacing w:before="120" w:after="120"/>
        <w:jc w:val="both"/>
      </w:pPr>
      <w:r w:rsidRPr="004D4A74">
        <w:rPr>
          <w:lang w:val="vi-VN"/>
        </w:rPr>
        <w:t xml:space="preserve">Our extended analysis of the crystal structure of core-shell shows significant lattice distortion in both ZIF-8 and HKUST-1 at their surface contact region, leading to the formation of a lattice mismatch region between ZIF-8 and HKUST-1. </w:t>
      </w:r>
      <w:r w:rsidRPr="004D4A74">
        <w:t>To gain deeper insight into the structural evolution at the MOF–MOF interface, we compared the characteristic diffraction peaks of ZIF</w:t>
      </w:r>
      <w:r w:rsidRPr="004D4A74">
        <w:rPr>
          <w:lang w:val="vi-VN"/>
        </w:rPr>
        <w:t xml:space="preserve">-8 </w:t>
      </w:r>
      <w:r w:rsidRPr="004D4A74">
        <w:t>and HKUST</w:t>
      </w:r>
      <w:r w:rsidRPr="004D4A74">
        <w:rPr>
          <w:lang w:val="vi-VN"/>
        </w:rPr>
        <w:t>-1</w:t>
      </w:r>
      <w:r w:rsidRPr="004D4A74">
        <w:t xml:space="preserve"> in the core–shell architecture with standard XRD patterns of ZIF-8 and</w:t>
      </w:r>
      <w:r w:rsidRPr="004D4A74">
        <w:rPr>
          <w:lang w:val="vi-VN"/>
        </w:rPr>
        <w:t xml:space="preserve"> </w:t>
      </w:r>
      <w:r w:rsidRPr="004D4A74">
        <w:t>HKUST</w:t>
      </w:r>
      <w:r w:rsidRPr="004D4A74">
        <w:rPr>
          <w:lang w:val="vi-VN"/>
        </w:rPr>
        <w:t>-1</w:t>
      </w:r>
      <w:r w:rsidRPr="004D4A74">
        <w:t>, respectively. Notably, the (111) and (200) peaks of HKUST</w:t>
      </w:r>
      <w:r w:rsidRPr="004D4A74">
        <w:rPr>
          <w:lang w:val="vi-VN"/>
        </w:rPr>
        <w:t>-1</w:t>
      </w:r>
      <w:r w:rsidRPr="004D4A74">
        <w:t xml:space="preserve"> exhibited slight shifts toward higher 2θ angles, while the (110) peak of HKUST</w:t>
      </w:r>
      <w:r w:rsidRPr="004D4A74">
        <w:rPr>
          <w:lang w:val="vi-VN"/>
        </w:rPr>
        <w:t>-1</w:t>
      </w:r>
      <w:r w:rsidRPr="004D4A74">
        <w:t xml:space="preserve"> shifted toward lower 2θ (</w:t>
      </w:r>
      <w:r w:rsidR="00277ACF" w:rsidRPr="005F42ED">
        <w:t>Fig. S</w:t>
      </w:r>
      <w:r w:rsidR="002E1339" w:rsidRPr="005F42ED">
        <w:t>15</w:t>
      </w:r>
      <w:r w:rsidRPr="004D4A74">
        <w:t>). These peak shifts suggest lattice distortion at the ZIF</w:t>
      </w:r>
      <w:r w:rsidRPr="004D4A74">
        <w:rPr>
          <w:lang w:val="vi-VN"/>
        </w:rPr>
        <w:t>-8/HKUST-1</w:t>
      </w:r>
      <w:r w:rsidRPr="004D4A74">
        <w:t xml:space="preserve"> interface, likely caused by crystallographic mismatch during the HKUST</w:t>
      </w:r>
      <w:r w:rsidRPr="004D4A74">
        <w:rPr>
          <w:lang w:val="vi-VN"/>
        </w:rPr>
        <w:t>-1</w:t>
      </w:r>
      <w:r w:rsidRPr="004D4A74">
        <w:t xml:space="preserve"> growth on the ZIF</w:t>
      </w:r>
      <w:r w:rsidRPr="004D4A74">
        <w:rPr>
          <w:lang w:val="vi-VN"/>
        </w:rPr>
        <w:t>-8</w:t>
      </w:r>
      <w:r w:rsidRPr="004D4A74">
        <w:t xml:space="preserve"> core. The mismatch results in local compression of HKUST</w:t>
      </w:r>
      <w:r w:rsidRPr="004D4A74">
        <w:rPr>
          <w:lang w:val="vi-VN"/>
        </w:rPr>
        <w:t>-1</w:t>
      </w:r>
      <w:r w:rsidRPr="004D4A74">
        <w:t xml:space="preserve"> and expansion of ZIF</w:t>
      </w:r>
      <w:r w:rsidRPr="004D4A74">
        <w:rPr>
          <w:lang w:val="vi-VN"/>
        </w:rPr>
        <w:t>-8</w:t>
      </w:r>
      <w:r w:rsidRPr="004D4A74">
        <w:t xml:space="preserve"> near the interface, leading to a strained and disordered interfacial region.</w:t>
      </w:r>
    </w:p>
    <w:p w14:paraId="7DD64B39" w14:textId="2B98B1F7" w:rsidR="00547197" w:rsidRDefault="00D65D2A" w:rsidP="00277ACF">
      <w:pPr>
        <w:spacing w:before="120" w:after="120"/>
        <w:jc w:val="both"/>
      </w:pPr>
      <w:r w:rsidRPr="004D4A74">
        <w:t xml:space="preserve">This region plays a critical role in influencing the transport behaviors of Li⁺ and TFSI⁻ ions </w:t>
      </w:r>
      <w:r w:rsidRPr="005F42ED">
        <w:t>(</w:t>
      </w:r>
      <w:r w:rsidR="00277ACF" w:rsidRPr="005F42ED">
        <w:t>Fig. S</w:t>
      </w:r>
      <w:r w:rsidR="002E1339" w:rsidRPr="005F42ED">
        <w:t>16</w:t>
      </w:r>
      <w:r w:rsidRPr="004D4A74">
        <w:t xml:space="preserve"> and Table </w:t>
      </w:r>
      <w:r w:rsidR="005F42ED">
        <w:t>S</w:t>
      </w:r>
      <w:r w:rsidRPr="004D4A74">
        <w:t>2). Specifically, the structural expansion and strain-induced defects slightly widen the Li⁺ diffusion channels, lowering the activation energy required for ion migration. While the resulting misalignment of pore networks can hinder ion transport, the small size of Li⁺ (~0.64 Å)</w:t>
      </w:r>
      <w:r w:rsidRPr="004D4A74">
        <w:rPr>
          <w:lang w:val="vi-VN"/>
        </w:rPr>
        <w:t xml:space="preserve"> </w:t>
      </w:r>
      <w:sdt>
        <w:sdtPr>
          <w:rPr>
            <w:color w:val="000000"/>
          </w:rPr>
          <w:tag w:val="MENDELEY_CITATION_v3_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"/>
          <w:id w:val="-1178964033"/>
          <w:placeholder>
            <w:docPart w:val="A9E650F153D64287AC0EA22DC6D2336C"/>
          </w:placeholder>
        </w:sdtPr>
        <w:sdtEndPr/>
        <w:sdtContent>
          <w:r w:rsidRPr="004D4A74">
            <w:rPr>
              <w:color w:val="000000"/>
            </w:rPr>
            <w:t>[24]</w:t>
          </w:r>
        </w:sdtContent>
      </w:sdt>
      <w:r w:rsidRPr="004D4A74">
        <w:t xml:space="preserve"> allows it to bypass steric constraints through site-to-site hopping and defect-mediated conduction pathways. In contrast, the much larger TFSI⁻ anions face severe steric hindrance and reduced mobility due to pore misalignment. Furthermore, defect-induced charge redistribution introduces localized positive sites (e.g., Cu²⁺ in HKUST</w:t>
      </w:r>
      <w:r w:rsidRPr="004D4A74">
        <w:rPr>
          <w:lang w:val="vi-VN"/>
        </w:rPr>
        <w:t>-1</w:t>
      </w:r>
      <w:r w:rsidRPr="004D4A74">
        <w:t xml:space="preserve"> and Zn²⁺ in ZIF</w:t>
      </w:r>
      <w:r w:rsidRPr="004D4A74">
        <w:rPr>
          <w:lang w:val="vi-VN"/>
        </w:rPr>
        <w:t>-8</w:t>
      </w:r>
      <w:r w:rsidRPr="004D4A74">
        <w:t>), which serve as Lewis acid sites that preferentially coordinate with Li⁺, further promoting its mobility. Simultaneously, TFSI⁻ is more likely to be trapped at defect sites via electrostatic interactions. The contrast in surface polarity</w:t>
      </w:r>
      <w:r w:rsidRPr="004D4A74">
        <w:rPr>
          <w:lang w:val="vi-VN"/>
        </w:rPr>
        <w:t xml:space="preserve">, </w:t>
      </w:r>
      <w:r w:rsidRPr="004D4A74">
        <w:t>hydrophobic ZIF</w:t>
      </w:r>
      <w:r w:rsidRPr="004D4A74">
        <w:rPr>
          <w:lang w:val="vi-VN"/>
        </w:rPr>
        <w:t>-8</w:t>
      </w:r>
      <w:r w:rsidRPr="004D4A74">
        <w:t xml:space="preserve"> versus hydrophilic HKUST</w:t>
      </w:r>
      <w:r w:rsidRPr="004D4A74">
        <w:rPr>
          <w:lang w:val="vi-VN"/>
        </w:rPr>
        <w:t xml:space="preserve">-1, </w:t>
      </w:r>
      <w:r w:rsidRPr="004D4A74">
        <w:t>also contributes to this transport selectivity. While Li⁺ can readily diffuse through both domains, the disruption in hydrophilic environments compromises TFSI⁻ solvation and impedes its transport.</w:t>
      </w:r>
    </w:p>
    <w:p w14:paraId="400DFD37" w14:textId="77777777" w:rsidR="005F42ED" w:rsidRDefault="00D65D2A" w:rsidP="00277ACF">
      <w:pPr>
        <w:spacing w:before="120" w:after="120"/>
        <w:jc w:val="both"/>
      </w:pPr>
      <w:r w:rsidRPr="004D4A74">
        <w:t>Collectively, the lattice mismatch region serves as a unique, third Li⁺ conduction pathway</w:t>
      </w:r>
      <w:r w:rsidRPr="004D4A74">
        <w:rPr>
          <w:lang w:val="vi-VN"/>
        </w:rPr>
        <w:t xml:space="preserve">, </w:t>
      </w:r>
      <w:r w:rsidRPr="004D4A74">
        <w:t>beyond the individual MOF channels</w:t>
      </w:r>
      <w:r w:rsidRPr="004D4A74">
        <w:rPr>
          <w:lang w:val="vi-VN"/>
        </w:rPr>
        <w:t xml:space="preserve">, </w:t>
      </w:r>
      <w:r w:rsidRPr="004D4A74">
        <w:t xml:space="preserve">by facilitating Li⁺ migration while suppressing TFSI⁻ diffusion. This asymmetric ion transport behavior contributes to the superior Li⁺ conductivity and electrochemical performance of the </w:t>
      </w:r>
      <w:r w:rsidRPr="004D4A74">
        <w:rPr>
          <w:rFonts w:eastAsia="Times New Roman"/>
        </w:rPr>
        <w:t>GHF@ZIF</w:t>
      </w:r>
      <w:r w:rsidRPr="004D4A74">
        <w:rPr>
          <w:rFonts w:eastAsia="Times New Roman"/>
          <w:lang w:val="vi-VN"/>
        </w:rPr>
        <w:t>-8</w:t>
      </w:r>
      <w:r w:rsidRPr="004D4A74">
        <w:rPr>
          <w:rFonts w:eastAsia="Times New Roman"/>
        </w:rPr>
        <w:t>@HKUST</w:t>
      </w:r>
      <w:r w:rsidRPr="004D4A74">
        <w:rPr>
          <w:rFonts w:eastAsia="Times New Roman"/>
          <w:lang w:val="vi-VN"/>
        </w:rPr>
        <w:t>-1</w:t>
      </w:r>
      <w:r w:rsidRPr="004D4A74">
        <w:t>-based QSSE. Future studies involving advanced simulations and spectroscopic characterization will further elucidate the mechanistic role of the interfacial lattice mismatch in governing ion transport dynamics.</w:t>
      </w:r>
    </w:p>
    <w:p w14:paraId="7E1DE33A" w14:textId="6BA5507F" w:rsidR="00547197" w:rsidRDefault="00422847" w:rsidP="005F42ED">
      <w:pPr>
        <w:spacing w:before="120" w:after="120"/>
        <w:jc w:val="center"/>
        <w:rPr>
          <w:b/>
          <w:bCs/>
        </w:rPr>
      </w:pPr>
      <w:r w:rsidRPr="004D4A74">
        <w:rPr>
          <w:b/>
          <w:bCs/>
          <w:noProof/>
          <w:lang w:val="en-IN" w:eastAsia="en-IN"/>
        </w:rPr>
        <w:drawing>
          <wp:inline distT="0" distB="0" distL="0" distR="0" wp14:anchorId="0842C5A1" wp14:editId="78AC0685">
            <wp:extent cx="4795759" cy="25530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l="5531" t="5016" r="38572" b="32734"/>
                    <a:stretch/>
                  </pic:blipFill>
                  <pic:spPr bwMode="auto">
                    <a:xfrm>
                      <a:off x="0" y="0"/>
                      <a:ext cx="4867948" cy="2591435"/>
                    </a:xfrm>
                    <a:prstGeom prst="rect">
                      <a:avLst/>
                    </a:prstGeom>
                    <a:noFill/>
                    <a:ln>
                      <a:noFill/>
                    </a:ln>
                    <a:extLst>
                      <a:ext uri="{53640926-AAD7-44D8-BBD7-CCE9431645EC}">
                        <a14:shadowObscured xmlns:a14="http://schemas.microsoft.com/office/drawing/2010/main"/>
                      </a:ext>
                    </a:extLst>
                  </pic:spPr>
                </pic:pic>
              </a:graphicData>
            </a:graphic>
          </wp:inline>
        </w:drawing>
      </w:r>
    </w:p>
    <w:p w14:paraId="1C9D7F25" w14:textId="69AE1292" w:rsidR="00547197" w:rsidRDefault="005F42ED" w:rsidP="00277ACF">
      <w:pPr>
        <w:spacing w:before="120" w:after="120"/>
        <w:jc w:val="both"/>
        <w:rPr>
          <w:b/>
          <w:bCs/>
        </w:rPr>
      </w:pPr>
      <w:r>
        <w:rPr>
          <w:b/>
          <w:bCs/>
        </w:rPr>
        <w:t>Fig. S</w:t>
      </w:r>
      <w:r w:rsidR="002E1339" w:rsidRPr="004D4A74">
        <w:rPr>
          <w:b/>
          <w:bCs/>
        </w:rPr>
        <w:t>15</w:t>
      </w:r>
      <w:r w:rsidR="00797771" w:rsidRPr="004D4A74">
        <w:rPr>
          <w:b/>
          <w:bCs/>
          <w:lang w:val="vi-VN"/>
        </w:rPr>
        <w:t xml:space="preserve"> </w:t>
      </w:r>
      <w:r w:rsidR="00797771" w:rsidRPr="004D4A74">
        <w:t xml:space="preserve">Peak shifting in XRD pattern of </w:t>
      </w:r>
      <w:r w:rsidR="00D6261F" w:rsidRPr="004D4A74">
        <w:rPr>
          <w:rFonts w:eastAsia="Times New Roman"/>
        </w:rPr>
        <w:t>GHF@ZIF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-1</w:t>
      </w:r>
      <w:r>
        <w:t xml:space="preserve"> core-shell</w:t>
      </w:r>
    </w:p>
    <w:p w14:paraId="16E05FFB" w14:textId="77777777" w:rsidR="002F7BA9" w:rsidRDefault="002F7BA9" w:rsidP="00277ACF">
      <w:pPr>
        <w:spacing w:before="120" w:after="120"/>
        <w:jc w:val="center"/>
        <w:rPr>
          <w:b/>
          <w:bCs/>
        </w:rPr>
      </w:pPr>
    </w:p>
    <w:p w14:paraId="1B47B45A" w14:textId="77777777" w:rsidR="002F7BA9" w:rsidRDefault="002F7BA9" w:rsidP="00277ACF">
      <w:pPr>
        <w:spacing w:before="120" w:after="120"/>
        <w:jc w:val="center"/>
        <w:rPr>
          <w:b/>
          <w:bCs/>
        </w:rPr>
      </w:pPr>
    </w:p>
    <w:p w14:paraId="0D93D3BB" w14:textId="77777777" w:rsidR="002F7BA9" w:rsidRDefault="002F7BA9" w:rsidP="00277ACF">
      <w:pPr>
        <w:spacing w:before="120" w:after="120"/>
        <w:jc w:val="center"/>
        <w:rPr>
          <w:b/>
          <w:bCs/>
        </w:rPr>
      </w:pPr>
    </w:p>
    <w:p w14:paraId="77736340" w14:textId="6F32DEA2" w:rsidR="00547197" w:rsidRDefault="00174DA8" w:rsidP="00277ACF">
      <w:pPr>
        <w:spacing w:before="120" w:after="120"/>
        <w:jc w:val="center"/>
        <w:rPr>
          <w:b/>
          <w:bCs/>
        </w:rPr>
      </w:pPr>
      <w:r w:rsidRPr="004D4A74">
        <w:rPr>
          <w:b/>
          <w:bCs/>
          <w:noProof/>
          <w:lang w:val="en-IN" w:eastAsia="en-IN"/>
        </w:rPr>
        <w:drawing>
          <wp:inline distT="0" distB="0" distL="0" distR="0" wp14:anchorId="083E7E70" wp14:editId="1733F6D9">
            <wp:extent cx="4036060" cy="545020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36060" cy="5450205"/>
                    </a:xfrm>
                    <a:prstGeom prst="rect">
                      <a:avLst/>
                    </a:prstGeom>
                    <a:noFill/>
                  </pic:spPr>
                </pic:pic>
              </a:graphicData>
            </a:graphic>
          </wp:inline>
        </w:drawing>
      </w:r>
    </w:p>
    <w:p w14:paraId="20B3937A" w14:textId="77777777" w:rsidR="00547197" w:rsidRDefault="00547197" w:rsidP="00277ACF">
      <w:pPr>
        <w:spacing w:before="120" w:after="120"/>
        <w:jc w:val="both"/>
        <w:rPr>
          <w:b/>
          <w:bCs/>
        </w:rPr>
      </w:pPr>
    </w:p>
    <w:p w14:paraId="68DF6BA0" w14:textId="710926AE" w:rsidR="00547197" w:rsidRDefault="002F7BA9" w:rsidP="002F7BA9">
      <w:pPr>
        <w:spacing w:before="120" w:after="120"/>
        <w:jc w:val="both"/>
        <w:rPr>
          <w:b/>
          <w:bCs/>
        </w:rPr>
      </w:pPr>
      <w:r>
        <w:rPr>
          <w:b/>
          <w:bCs/>
        </w:rPr>
        <w:t>Fig. S</w:t>
      </w:r>
      <w:r w:rsidR="002E1339" w:rsidRPr="004D4A74">
        <w:rPr>
          <w:b/>
          <w:bCs/>
        </w:rPr>
        <w:t>16</w:t>
      </w:r>
      <w:r w:rsidR="00797771" w:rsidRPr="004D4A74">
        <w:rPr>
          <w:b/>
          <w:bCs/>
          <w:lang w:val="vi-VN"/>
        </w:rPr>
        <w:t xml:space="preserve"> </w:t>
      </w:r>
      <w:r w:rsidR="00797771" w:rsidRPr="004D4A74">
        <w:rPr>
          <w:lang w:val="vi-VN"/>
        </w:rPr>
        <w:t>Schematic illustrations of ion transport between the two main ionic conduction channels, either enhanced or restricted by the large lattice mismatch between the core (</w:t>
      </w:r>
      <w:r w:rsidR="00164276" w:rsidRPr="004D4A74">
        <w:rPr>
          <w:lang w:val="vi-VN"/>
        </w:rPr>
        <w:t>ZIF-8</w:t>
      </w:r>
      <w:r w:rsidR="00797771" w:rsidRPr="004D4A74">
        <w:rPr>
          <w:lang w:val="vi-VN"/>
        </w:rPr>
        <w:t>) and shell (</w:t>
      </w:r>
      <w:r w:rsidR="00164276" w:rsidRPr="004D4A74">
        <w:rPr>
          <w:lang w:val="vi-VN"/>
        </w:rPr>
        <w:t>HKUST-1</w:t>
      </w:r>
      <w:r>
        <w:rPr>
          <w:lang w:val="vi-VN"/>
        </w:rPr>
        <w:t>) materials</w:t>
      </w:r>
    </w:p>
    <w:p w14:paraId="6F95D139" w14:textId="77777777" w:rsidR="002F7BA9" w:rsidRDefault="002F7BA9">
      <w:pPr>
        <w:rPr>
          <w:b/>
          <w:bCs/>
        </w:rPr>
      </w:pPr>
      <w:r>
        <w:rPr>
          <w:b/>
          <w:bCs/>
        </w:rPr>
        <w:br w:type="page"/>
      </w:r>
    </w:p>
    <w:p w14:paraId="560E8B36" w14:textId="34372FE0" w:rsidR="00797771" w:rsidRPr="004D4A74" w:rsidRDefault="00797771" w:rsidP="00277ACF">
      <w:pPr>
        <w:spacing w:before="120" w:after="120"/>
        <w:jc w:val="both"/>
        <w:rPr>
          <w:lang w:val="vi-VN"/>
        </w:rPr>
      </w:pPr>
      <w:r w:rsidRPr="004D4A74">
        <w:rPr>
          <w:b/>
          <w:bCs/>
        </w:rPr>
        <w:t>Table</w:t>
      </w:r>
      <w:r w:rsidRPr="004D4A74">
        <w:rPr>
          <w:b/>
          <w:bCs/>
          <w:lang w:val="vi-VN"/>
        </w:rPr>
        <w:t xml:space="preserve"> </w:t>
      </w:r>
      <w:r w:rsidR="002F7BA9">
        <w:rPr>
          <w:b/>
          <w:bCs/>
          <w:lang w:val="vi-VN"/>
        </w:rPr>
        <w:t>S</w:t>
      </w:r>
      <w:r w:rsidRPr="004D4A74">
        <w:rPr>
          <w:b/>
          <w:bCs/>
        </w:rPr>
        <w:t>2</w:t>
      </w:r>
      <w:r w:rsidRPr="004D4A74">
        <w:rPr>
          <w:b/>
          <w:bCs/>
          <w:lang w:val="vi-VN"/>
        </w:rPr>
        <w:t xml:space="preserve"> </w:t>
      </w:r>
      <w:r w:rsidRPr="004D4A74">
        <w:rPr>
          <w:lang w:val="vi-VN"/>
        </w:rPr>
        <w:t>Summary of the key effects of large lattice mism</w:t>
      </w:r>
      <w:r w:rsidR="006A3CB1">
        <w:rPr>
          <w:lang w:val="vi-VN"/>
        </w:rPr>
        <w:t>atch on Li⁺ and TFSI⁻ transport</w:t>
      </w:r>
    </w:p>
    <w:tbl>
      <w:tblPr>
        <w:tblpPr w:leftFromText="180" w:rightFromText="180" w:vertAnchor="text" w:horzAnchor="margin" w:tblpY="242"/>
        <w:tblW w:w="9339" w:type="dxa"/>
        <w:tblLayout w:type="fixed"/>
        <w:tblCellMar>
          <w:left w:w="0" w:type="dxa"/>
          <w:right w:w="0" w:type="dxa"/>
        </w:tblCellMar>
        <w:tblLook w:val="0620" w:firstRow="1" w:lastRow="0" w:firstColumn="0" w:lastColumn="0" w:noHBand="1" w:noVBand="1"/>
      </w:tblPr>
      <w:tblGrid>
        <w:gridCol w:w="3240"/>
        <w:gridCol w:w="2955"/>
        <w:gridCol w:w="3144"/>
      </w:tblGrid>
      <w:tr w:rsidR="00797771" w:rsidRPr="004D4A74" w14:paraId="560BC7D4" w14:textId="77777777" w:rsidTr="002F7BA9">
        <w:trPr>
          <w:trHeight w:val="20"/>
        </w:trPr>
        <w:tc>
          <w:tcPr>
            <w:tcW w:w="3240" w:type="dxa"/>
            <w:tcBorders>
              <w:top w:val="single" w:sz="8" w:space="0" w:color="000000"/>
              <w:left w:val="nil"/>
              <w:bottom w:val="single" w:sz="8" w:space="0" w:color="000000"/>
              <w:right w:val="nil"/>
            </w:tcBorders>
            <w:shd w:val="clear" w:color="auto" w:fill="F2F2F2" w:themeFill="background1" w:themeFillShade="F2"/>
            <w:tcMar>
              <w:top w:w="28" w:type="dxa"/>
              <w:left w:w="56" w:type="dxa"/>
              <w:bottom w:w="28" w:type="dxa"/>
              <w:right w:w="56" w:type="dxa"/>
            </w:tcMar>
            <w:vAlign w:val="center"/>
            <w:hideMark/>
          </w:tcPr>
          <w:p w14:paraId="06FF7E53" w14:textId="77777777" w:rsidR="00797771" w:rsidRPr="004D4A74" w:rsidRDefault="00797771" w:rsidP="00692DA1">
            <w:pPr>
              <w:spacing w:before="120" w:after="120"/>
              <w:jc w:val="center"/>
            </w:pPr>
            <w:r w:rsidRPr="004D4A74">
              <w:rPr>
                <w:b/>
                <w:bCs/>
              </w:rPr>
              <w:t>Factor</w:t>
            </w:r>
          </w:p>
        </w:tc>
        <w:tc>
          <w:tcPr>
            <w:tcW w:w="2955" w:type="dxa"/>
            <w:tcBorders>
              <w:top w:val="single" w:sz="8" w:space="0" w:color="000000"/>
              <w:left w:val="nil"/>
              <w:bottom w:val="single" w:sz="8" w:space="0" w:color="000000"/>
              <w:right w:val="nil"/>
            </w:tcBorders>
            <w:shd w:val="clear" w:color="auto" w:fill="F2F2F2" w:themeFill="background1" w:themeFillShade="F2"/>
            <w:tcMar>
              <w:top w:w="28" w:type="dxa"/>
              <w:left w:w="56" w:type="dxa"/>
              <w:bottom w:w="28" w:type="dxa"/>
              <w:right w:w="56" w:type="dxa"/>
            </w:tcMar>
            <w:vAlign w:val="center"/>
            <w:hideMark/>
          </w:tcPr>
          <w:p w14:paraId="129DE942" w14:textId="77777777" w:rsidR="00797771" w:rsidRPr="004D4A74" w:rsidRDefault="00797771" w:rsidP="00692DA1">
            <w:pPr>
              <w:spacing w:before="120" w:after="120"/>
              <w:jc w:val="center"/>
            </w:pPr>
            <w:r w:rsidRPr="004D4A74">
              <w:rPr>
                <w:b/>
                <w:bCs/>
              </w:rPr>
              <w:t>Effect on Li⁺ Transport (Enhanced)</w:t>
            </w:r>
          </w:p>
        </w:tc>
        <w:tc>
          <w:tcPr>
            <w:tcW w:w="3144" w:type="dxa"/>
            <w:tcBorders>
              <w:top w:val="single" w:sz="8" w:space="0" w:color="000000"/>
              <w:left w:val="nil"/>
              <w:bottom w:val="single" w:sz="8" w:space="0" w:color="000000"/>
              <w:right w:val="nil"/>
            </w:tcBorders>
            <w:shd w:val="clear" w:color="auto" w:fill="F2F2F2" w:themeFill="background1" w:themeFillShade="F2"/>
            <w:tcMar>
              <w:top w:w="28" w:type="dxa"/>
              <w:left w:w="56" w:type="dxa"/>
              <w:bottom w:w="28" w:type="dxa"/>
              <w:right w:w="56" w:type="dxa"/>
            </w:tcMar>
            <w:vAlign w:val="center"/>
            <w:hideMark/>
          </w:tcPr>
          <w:p w14:paraId="4F0A37CE" w14:textId="77777777" w:rsidR="00797771" w:rsidRPr="004D4A74" w:rsidRDefault="00797771" w:rsidP="00692DA1">
            <w:pPr>
              <w:spacing w:before="120" w:after="120"/>
              <w:jc w:val="center"/>
            </w:pPr>
            <w:r w:rsidRPr="004D4A74">
              <w:rPr>
                <w:b/>
                <w:bCs/>
              </w:rPr>
              <w:t>Effect on TFSI⁻ Transport (Suppressed)</w:t>
            </w:r>
          </w:p>
        </w:tc>
      </w:tr>
      <w:tr w:rsidR="00797771" w:rsidRPr="004D4A74" w14:paraId="104EE833" w14:textId="77777777" w:rsidTr="002F7BA9">
        <w:trPr>
          <w:trHeight w:val="20"/>
        </w:trPr>
        <w:tc>
          <w:tcPr>
            <w:tcW w:w="3240" w:type="dxa"/>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14:paraId="1CFE02BC" w14:textId="77777777" w:rsidR="00797771" w:rsidRPr="004D4A74" w:rsidRDefault="00797771" w:rsidP="00692DA1">
            <w:pPr>
              <w:spacing w:before="120" w:after="120"/>
              <w:rPr>
                <w:sz w:val="20"/>
              </w:rPr>
            </w:pPr>
            <w:r w:rsidRPr="004D4A74">
              <w:rPr>
                <w:b/>
                <w:bCs/>
                <w:sz w:val="20"/>
              </w:rPr>
              <w:t>1. Structural Expansion &amp; Localized Disorder</w:t>
            </w:r>
          </w:p>
        </w:tc>
        <w:tc>
          <w:tcPr>
            <w:tcW w:w="2955" w:type="dxa"/>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14:paraId="57BB9D4B" w14:textId="77777777" w:rsidR="00797771" w:rsidRPr="004D4A74" w:rsidRDefault="00797771" w:rsidP="00692DA1">
            <w:pPr>
              <w:spacing w:before="120" w:after="120"/>
              <w:rPr>
                <w:sz w:val="20"/>
              </w:rPr>
            </w:pPr>
            <w:r w:rsidRPr="004D4A74">
              <w:rPr>
                <w:b/>
                <w:bCs/>
                <w:sz w:val="20"/>
              </w:rPr>
              <w:t>Localized strain may expand diffusion channels slightly</w:t>
            </w:r>
            <w:r w:rsidRPr="004D4A74">
              <w:rPr>
                <w:sz w:val="20"/>
              </w:rPr>
              <w:t>, lowering the activation energy for Li⁺ diffusion.</w:t>
            </w:r>
          </w:p>
        </w:tc>
        <w:tc>
          <w:tcPr>
            <w:tcW w:w="3144" w:type="dxa"/>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14:paraId="538E2C86" w14:textId="77777777" w:rsidR="00797771" w:rsidRPr="004D4A74" w:rsidRDefault="00797771" w:rsidP="00692DA1">
            <w:pPr>
              <w:spacing w:before="120" w:after="120"/>
              <w:rPr>
                <w:sz w:val="20"/>
              </w:rPr>
            </w:pPr>
            <w:r w:rsidRPr="004D4A74">
              <w:rPr>
                <w:b/>
                <w:bCs/>
                <w:sz w:val="20"/>
              </w:rPr>
              <w:t>Distorted structures</w:t>
            </w:r>
            <w:r w:rsidRPr="004D4A74">
              <w:rPr>
                <w:sz w:val="20"/>
              </w:rPr>
              <w:t xml:space="preserve"> create misaligned pore channels, making it </w:t>
            </w:r>
            <w:r w:rsidRPr="004D4A74">
              <w:rPr>
                <w:b/>
                <w:bCs/>
                <w:sz w:val="20"/>
              </w:rPr>
              <w:t>difficult for TFSI⁻ to migrate.</w:t>
            </w:r>
          </w:p>
        </w:tc>
      </w:tr>
      <w:tr w:rsidR="00797771" w:rsidRPr="004D4A74" w14:paraId="6EC333D7" w14:textId="77777777" w:rsidTr="002F7BA9">
        <w:trPr>
          <w:trHeight w:val="20"/>
        </w:trPr>
        <w:tc>
          <w:tcPr>
            <w:tcW w:w="3240" w:type="dxa"/>
            <w:tcBorders>
              <w:top w:val="nil"/>
              <w:left w:val="nil"/>
              <w:bottom w:val="nil"/>
              <w:right w:val="nil"/>
            </w:tcBorders>
            <w:shd w:val="clear" w:color="auto" w:fill="auto"/>
            <w:tcMar>
              <w:top w:w="72" w:type="dxa"/>
              <w:left w:w="144" w:type="dxa"/>
              <w:bottom w:w="72" w:type="dxa"/>
              <w:right w:w="144" w:type="dxa"/>
            </w:tcMar>
            <w:vAlign w:val="center"/>
            <w:hideMark/>
          </w:tcPr>
          <w:p w14:paraId="3E2EA5FF" w14:textId="77777777" w:rsidR="00797771" w:rsidRPr="004D4A74" w:rsidRDefault="00797771" w:rsidP="00692DA1">
            <w:pPr>
              <w:spacing w:before="120" w:after="120"/>
              <w:rPr>
                <w:sz w:val="20"/>
              </w:rPr>
            </w:pPr>
            <w:r w:rsidRPr="004D4A74">
              <w:rPr>
                <w:b/>
                <w:bCs/>
                <w:sz w:val="20"/>
              </w:rPr>
              <w:t>2. Pore Connectivity</w:t>
            </w:r>
          </w:p>
        </w:tc>
        <w:tc>
          <w:tcPr>
            <w:tcW w:w="2955" w:type="dxa"/>
            <w:tcBorders>
              <w:top w:val="nil"/>
              <w:left w:val="nil"/>
              <w:bottom w:val="nil"/>
              <w:right w:val="nil"/>
            </w:tcBorders>
            <w:shd w:val="clear" w:color="auto" w:fill="auto"/>
            <w:tcMar>
              <w:top w:w="72" w:type="dxa"/>
              <w:left w:w="144" w:type="dxa"/>
              <w:bottom w:w="72" w:type="dxa"/>
              <w:right w:w="144" w:type="dxa"/>
            </w:tcMar>
            <w:vAlign w:val="center"/>
            <w:hideMark/>
          </w:tcPr>
          <w:p w14:paraId="0E8D910D" w14:textId="77777777" w:rsidR="00547197" w:rsidRDefault="00797771" w:rsidP="00692DA1">
            <w:pPr>
              <w:spacing w:before="120" w:after="120"/>
              <w:rPr>
                <w:sz w:val="20"/>
              </w:rPr>
            </w:pPr>
            <w:r w:rsidRPr="004D4A74">
              <w:rPr>
                <w:sz w:val="20"/>
              </w:rPr>
              <w:t xml:space="preserve">Some </w:t>
            </w:r>
            <w:r w:rsidRPr="004D4A74">
              <w:rPr>
                <w:b/>
                <w:bCs/>
                <w:sz w:val="20"/>
              </w:rPr>
              <w:t>misaligned pores may still allow Li⁺ hopping</w:t>
            </w:r>
            <w:r w:rsidRPr="004D4A74">
              <w:rPr>
                <w:sz w:val="20"/>
              </w:rPr>
              <w:t xml:space="preserve"> between ZIF-8 and HKUST-1.</w:t>
            </w:r>
          </w:p>
          <w:p w14:paraId="1EA30DB1" w14:textId="5E30BB48" w:rsidR="00797771" w:rsidRPr="004D4A74" w:rsidRDefault="00797771" w:rsidP="00692DA1">
            <w:pPr>
              <w:spacing w:before="120" w:after="120"/>
              <w:rPr>
                <w:sz w:val="20"/>
              </w:rPr>
            </w:pPr>
            <w:r w:rsidRPr="004D4A74">
              <w:rPr>
                <w:b/>
                <w:bCs/>
                <w:sz w:val="20"/>
              </w:rPr>
              <w:t>Small size of Li⁺ (~1.8 Å in bare form, ~3-4 Å in solvated form)</w:t>
            </w:r>
            <w:r w:rsidRPr="004D4A74">
              <w:rPr>
                <w:sz w:val="20"/>
              </w:rPr>
              <w:t xml:space="preserve"> allows it to move through defects and narrow pathways.</w:t>
            </w:r>
          </w:p>
        </w:tc>
        <w:tc>
          <w:tcPr>
            <w:tcW w:w="3144" w:type="dxa"/>
            <w:tcBorders>
              <w:top w:val="nil"/>
              <w:left w:val="nil"/>
              <w:bottom w:val="nil"/>
              <w:right w:val="nil"/>
            </w:tcBorders>
            <w:shd w:val="clear" w:color="auto" w:fill="auto"/>
            <w:tcMar>
              <w:top w:w="72" w:type="dxa"/>
              <w:left w:w="144" w:type="dxa"/>
              <w:bottom w:w="72" w:type="dxa"/>
              <w:right w:w="144" w:type="dxa"/>
            </w:tcMar>
            <w:vAlign w:val="center"/>
            <w:hideMark/>
          </w:tcPr>
          <w:p w14:paraId="705101E9" w14:textId="77777777" w:rsidR="00797771" w:rsidRPr="004D4A74" w:rsidRDefault="00797771" w:rsidP="00692DA1">
            <w:pPr>
              <w:spacing w:before="120" w:after="120"/>
              <w:rPr>
                <w:sz w:val="20"/>
              </w:rPr>
            </w:pPr>
            <w:r w:rsidRPr="004D4A74">
              <w:rPr>
                <w:b/>
                <w:bCs/>
                <w:sz w:val="20"/>
              </w:rPr>
              <w:t>Large TFSI⁻ anions get sterically blocked</w:t>
            </w:r>
            <w:r w:rsidRPr="004D4A74">
              <w:rPr>
                <w:sz w:val="20"/>
              </w:rPr>
              <w:t xml:space="preserve"> by constricted or misaligned pores.</w:t>
            </w:r>
          </w:p>
        </w:tc>
      </w:tr>
      <w:tr w:rsidR="00797771" w:rsidRPr="004D4A74" w14:paraId="63D0103A" w14:textId="77777777" w:rsidTr="002F7BA9">
        <w:trPr>
          <w:trHeight w:val="20"/>
        </w:trPr>
        <w:tc>
          <w:tcPr>
            <w:tcW w:w="3240" w:type="dxa"/>
            <w:tcBorders>
              <w:top w:val="nil"/>
              <w:left w:val="nil"/>
              <w:bottom w:val="nil"/>
              <w:right w:val="nil"/>
            </w:tcBorders>
            <w:shd w:val="clear" w:color="auto" w:fill="auto"/>
            <w:tcMar>
              <w:top w:w="72" w:type="dxa"/>
              <w:left w:w="144" w:type="dxa"/>
              <w:bottom w:w="72" w:type="dxa"/>
              <w:right w:w="144" w:type="dxa"/>
            </w:tcMar>
            <w:vAlign w:val="center"/>
            <w:hideMark/>
          </w:tcPr>
          <w:p w14:paraId="51A8A408" w14:textId="77777777" w:rsidR="00797771" w:rsidRPr="004D4A74" w:rsidRDefault="00797771" w:rsidP="00692DA1">
            <w:pPr>
              <w:spacing w:before="120" w:after="120"/>
              <w:rPr>
                <w:sz w:val="20"/>
              </w:rPr>
            </w:pPr>
            <w:r w:rsidRPr="004D4A74">
              <w:rPr>
                <w:b/>
                <w:bCs/>
                <w:sz w:val="20"/>
              </w:rPr>
              <w:t>3. Charge Distribution &amp; Defect Trapping</w:t>
            </w:r>
          </w:p>
        </w:tc>
        <w:tc>
          <w:tcPr>
            <w:tcW w:w="2955" w:type="dxa"/>
            <w:tcBorders>
              <w:top w:val="nil"/>
              <w:left w:val="nil"/>
              <w:bottom w:val="nil"/>
              <w:right w:val="nil"/>
            </w:tcBorders>
            <w:shd w:val="clear" w:color="auto" w:fill="auto"/>
            <w:tcMar>
              <w:top w:w="72" w:type="dxa"/>
              <w:left w:w="144" w:type="dxa"/>
              <w:bottom w:w="72" w:type="dxa"/>
              <w:right w:w="144" w:type="dxa"/>
            </w:tcMar>
            <w:vAlign w:val="center"/>
            <w:hideMark/>
          </w:tcPr>
          <w:p w14:paraId="4DA9BA85" w14:textId="77777777" w:rsidR="00797771" w:rsidRPr="004D4A74" w:rsidRDefault="00797771" w:rsidP="00692DA1">
            <w:pPr>
              <w:spacing w:before="120" w:after="120"/>
              <w:rPr>
                <w:sz w:val="20"/>
              </w:rPr>
            </w:pPr>
            <w:r w:rsidRPr="004D4A74">
              <w:rPr>
                <w:b/>
                <w:bCs/>
                <w:sz w:val="20"/>
              </w:rPr>
              <w:t>Defects introduce positive charge sites</w:t>
            </w:r>
            <w:r w:rsidRPr="004D4A74">
              <w:rPr>
                <w:sz w:val="20"/>
              </w:rPr>
              <w:t xml:space="preserve"> (e.g., Cu²⁺ in HKUST-1), which can act as </w:t>
            </w:r>
            <w:r w:rsidRPr="004D4A74">
              <w:rPr>
                <w:b/>
                <w:bCs/>
                <w:sz w:val="20"/>
              </w:rPr>
              <w:t>Li⁺ anchoring points</w:t>
            </w:r>
            <w:r w:rsidRPr="004D4A74">
              <w:rPr>
                <w:sz w:val="20"/>
              </w:rPr>
              <w:t>, promoting rapid Li⁺ transport by enhancing ion hopping between adjacent sites.</w:t>
            </w:r>
          </w:p>
        </w:tc>
        <w:tc>
          <w:tcPr>
            <w:tcW w:w="3144" w:type="dxa"/>
            <w:tcBorders>
              <w:top w:val="nil"/>
              <w:left w:val="nil"/>
              <w:bottom w:val="nil"/>
              <w:right w:val="nil"/>
            </w:tcBorders>
            <w:shd w:val="clear" w:color="auto" w:fill="auto"/>
            <w:tcMar>
              <w:top w:w="72" w:type="dxa"/>
              <w:left w:w="144" w:type="dxa"/>
              <w:bottom w:w="72" w:type="dxa"/>
              <w:right w:w="144" w:type="dxa"/>
            </w:tcMar>
            <w:vAlign w:val="center"/>
            <w:hideMark/>
          </w:tcPr>
          <w:p w14:paraId="03656493" w14:textId="77777777" w:rsidR="00797771" w:rsidRPr="004D4A74" w:rsidRDefault="00797771" w:rsidP="00692DA1">
            <w:pPr>
              <w:spacing w:before="120" w:after="120"/>
              <w:rPr>
                <w:sz w:val="20"/>
              </w:rPr>
            </w:pPr>
            <w:r w:rsidRPr="004D4A74">
              <w:rPr>
                <w:sz w:val="20"/>
              </w:rPr>
              <w:t xml:space="preserve">TFSI⁻ </w:t>
            </w:r>
            <w:r w:rsidRPr="004D4A74">
              <w:rPr>
                <w:b/>
                <w:bCs/>
                <w:sz w:val="20"/>
              </w:rPr>
              <w:t>may get trapped in defect-rich interfacial zones</w:t>
            </w:r>
            <w:r w:rsidRPr="004D4A74">
              <w:rPr>
                <w:sz w:val="20"/>
              </w:rPr>
              <w:t>, significantly reducing its diffusion.</w:t>
            </w:r>
          </w:p>
        </w:tc>
      </w:tr>
      <w:tr w:rsidR="00797771" w:rsidRPr="004D4A74" w14:paraId="2F1C2008" w14:textId="77777777" w:rsidTr="002F7BA9">
        <w:trPr>
          <w:trHeight w:val="20"/>
        </w:trPr>
        <w:tc>
          <w:tcPr>
            <w:tcW w:w="3240" w:type="dxa"/>
            <w:tcBorders>
              <w:top w:val="nil"/>
              <w:left w:val="nil"/>
              <w:bottom w:val="single" w:sz="8" w:space="0" w:color="000000"/>
              <w:right w:val="nil"/>
            </w:tcBorders>
            <w:shd w:val="clear" w:color="auto" w:fill="auto"/>
            <w:tcMar>
              <w:top w:w="72" w:type="dxa"/>
              <w:left w:w="144" w:type="dxa"/>
              <w:bottom w:w="72" w:type="dxa"/>
              <w:right w:w="144" w:type="dxa"/>
            </w:tcMar>
            <w:vAlign w:val="center"/>
            <w:hideMark/>
          </w:tcPr>
          <w:p w14:paraId="400B5D15" w14:textId="77777777" w:rsidR="00797771" w:rsidRPr="004D4A74" w:rsidRDefault="00797771" w:rsidP="00692DA1">
            <w:pPr>
              <w:spacing w:before="120" w:after="120"/>
              <w:rPr>
                <w:sz w:val="20"/>
              </w:rPr>
            </w:pPr>
            <w:r w:rsidRPr="004D4A74">
              <w:rPr>
                <w:b/>
                <w:bCs/>
                <w:sz w:val="20"/>
              </w:rPr>
              <w:t>4.</w:t>
            </w:r>
            <w:r w:rsidRPr="004D4A74">
              <w:rPr>
                <w:b/>
                <w:bCs/>
                <w:sz w:val="20"/>
                <w:lang w:val="vi-VN"/>
              </w:rPr>
              <w:t xml:space="preserve"> </w:t>
            </w:r>
            <w:r w:rsidRPr="004D4A74">
              <w:rPr>
                <w:b/>
                <w:bCs/>
                <w:sz w:val="20"/>
              </w:rPr>
              <w:t>Hydrophobic/Hydrophilic Contrast</w:t>
            </w:r>
          </w:p>
        </w:tc>
        <w:tc>
          <w:tcPr>
            <w:tcW w:w="2955" w:type="dxa"/>
            <w:tcBorders>
              <w:top w:val="nil"/>
              <w:left w:val="nil"/>
              <w:bottom w:val="single" w:sz="8" w:space="0" w:color="000000"/>
              <w:right w:val="nil"/>
            </w:tcBorders>
            <w:shd w:val="clear" w:color="auto" w:fill="auto"/>
            <w:tcMar>
              <w:top w:w="72" w:type="dxa"/>
              <w:left w:w="144" w:type="dxa"/>
              <w:bottom w:w="72" w:type="dxa"/>
              <w:right w:w="144" w:type="dxa"/>
            </w:tcMar>
            <w:vAlign w:val="center"/>
            <w:hideMark/>
          </w:tcPr>
          <w:p w14:paraId="0EFECA92" w14:textId="77777777" w:rsidR="00797771" w:rsidRPr="004D4A74" w:rsidRDefault="00797771" w:rsidP="00692DA1">
            <w:pPr>
              <w:spacing w:before="120" w:after="120"/>
              <w:rPr>
                <w:sz w:val="20"/>
              </w:rPr>
            </w:pPr>
            <w:r w:rsidRPr="004D4A74">
              <w:rPr>
                <w:b/>
                <w:bCs/>
                <w:sz w:val="20"/>
              </w:rPr>
              <w:t>ZIF-8 is more hydrophobic</w:t>
            </w:r>
            <w:r w:rsidRPr="004D4A74">
              <w:rPr>
                <w:sz w:val="20"/>
              </w:rPr>
              <w:t>, but Li⁺ (when de-solvated) can still diffuse through.</w:t>
            </w:r>
          </w:p>
        </w:tc>
        <w:tc>
          <w:tcPr>
            <w:tcW w:w="3144" w:type="dxa"/>
            <w:tcBorders>
              <w:top w:val="nil"/>
              <w:left w:val="nil"/>
              <w:bottom w:val="single" w:sz="8" w:space="0" w:color="000000"/>
              <w:right w:val="nil"/>
            </w:tcBorders>
            <w:shd w:val="clear" w:color="auto" w:fill="auto"/>
            <w:tcMar>
              <w:top w:w="72" w:type="dxa"/>
              <w:left w:w="144" w:type="dxa"/>
              <w:bottom w:w="72" w:type="dxa"/>
              <w:right w:w="144" w:type="dxa"/>
            </w:tcMar>
            <w:vAlign w:val="center"/>
            <w:hideMark/>
          </w:tcPr>
          <w:p w14:paraId="5FADF1A5" w14:textId="77777777" w:rsidR="00797771" w:rsidRPr="004D4A74" w:rsidRDefault="00797771" w:rsidP="00692DA1">
            <w:pPr>
              <w:spacing w:before="120" w:after="120"/>
              <w:rPr>
                <w:sz w:val="20"/>
              </w:rPr>
            </w:pPr>
            <w:r w:rsidRPr="004D4A74">
              <w:rPr>
                <w:b/>
                <w:bCs/>
                <w:sz w:val="20"/>
              </w:rPr>
              <w:t>TFSI⁻ prefers a hydrophilic environment (like HKUST-1), but the interface disrupts this</w:t>
            </w:r>
            <w:r w:rsidRPr="004D4A74">
              <w:rPr>
                <w:sz w:val="20"/>
              </w:rPr>
              <w:t>, making anion transport inefficient.</w:t>
            </w:r>
          </w:p>
        </w:tc>
      </w:tr>
    </w:tbl>
    <w:p w14:paraId="31751D80" w14:textId="4A495C07" w:rsidR="00547197" w:rsidRPr="002F7BA9" w:rsidRDefault="00277ACF" w:rsidP="002F7BA9">
      <w:pPr>
        <w:spacing w:before="240" w:after="240"/>
        <w:jc w:val="both"/>
        <w:rPr>
          <w:b/>
          <w:bCs/>
        </w:rPr>
      </w:pPr>
      <w:bookmarkStart w:id="9" w:name="_Hlk211036602"/>
      <w:bookmarkStart w:id="10" w:name="_Hlk206884080"/>
      <w:bookmarkStart w:id="11" w:name="_Hlk206778194"/>
      <w:r w:rsidRPr="00277ACF">
        <w:rPr>
          <w:b/>
          <w:bCs/>
        </w:rPr>
        <w:t>Note S</w:t>
      </w:r>
      <w:r w:rsidR="000327D3" w:rsidRPr="004D4A74">
        <w:rPr>
          <w:b/>
          <w:bCs/>
        </w:rPr>
        <w:t>13</w:t>
      </w:r>
      <w:r w:rsidR="00D65D2A" w:rsidRPr="004D4A74">
        <w:rPr>
          <w:b/>
          <w:bCs/>
        </w:rPr>
        <w:t xml:space="preserve"> The</w:t>
      </w:r>
      <w:r w:rsidR="00D65D2A" w:rsidRPr="004D4A74">
        <w:rPr>
          <w:b/>
          <w:bCs/>
          <w:lang w:val="vi-VN"/>
        </w:rPr>
        <w:t xml:space="preserve"> cell performance of </w:t>
      </w:r>
      <w:r w:rsidR="00D65D2A" w:rsidRPr="004D4A74">
        <w:rPr>
          <w:b/>
          <w:bCs/>
        </w:rPr>
        <w:t>Li//Li symmetric cells</w:t>
      </w:r>
      <w:r w:rsidR="000554B3" w:rsidRPr="004D4A74">
        <w:rPr>
          <w:b/>
          <w:bCs/>
        </w:rPr>
        <w:t xml:space="preserve"> at room temperature</w:t>
      </w:r>
      <w:bookmarkEnd w:id="9"/>
    </w:p>
    <w:p w14:paraId="243FBD11" w14:textId="7323D8A6" w:rsidR="00547197" w:rsidRDefault="00D65D2A" w:rsidP="00692DA1">
      <w:pPr>
        <w:spacing w:before="120" w:after="120"/>
        <w:jc w:val="both"/>
        <w:rPr>
          <w:b/>
          <w:bCs/>
        </w:rPr>
      </w:pPr>
      <w:r w:rsidRPr="004D4A74">
        <w:rPr>
          <w:lang w:val="vi-VN"/>
        </w:rPr>
        <w:t>Before evaluating the performance of LMBs designed with our QSSEs, we first investigated the behavior of Li plating/stripping through these QSSEs in Li//Li symmetric cells at room temperature (25</w:t>
      </w:r>
      <w:r w:rsidR="006A3CB1">
        <w:rPr>
          <w:lang w:val="vi-VN"/>
        </w:rPr>
        <w:t xml:space="preserve"> </w:t>
      </w:r>
      <w:r w:rsidRPr="004D4A74">
        <w:rPr>
          <w:lang w:val="vi-VN"/>
        </w:rPr>
        <w:t>°C) with a current density of 1 mA cm</w:t>
      </w:r>
      <w:r w:rsidRPr="004D4A74">
        <w:rPr>
          <w:vertAlign w:val="superscript"/>
          <w:lang w:val="vi-VN"/>
        </w:rPr>
        <w:t>−2</w:t>
      </w:r>
      <w:r w:rsidRPr="004D4A74">
        <w:rPr>
          <w:lang w:val="vi-VN"/>
        </w:rPr>
        <w:t xml:space="preserve"> (areal capacity of 1 mAh cm</w:t>
      </w:r>
      <w:r w:rsidRPr="004D4A74">
        <w:rPr>
          <w:vertAlign w:val="superscript"/>
          <w:lang w:val="vi-VN"/>
        </w:rPr>
        <w:t>−2</w:t>
      </w:r>
      <w:r w:rsidRPr="004D4A74">
        <w:rPr>
          <w:lang w:val="vi-VN"/>
        </w:rPr>
        <w:t>) (</w:t>
      </w:r>
      <w:r w:rsidR="00277ACF" w:rsidRPr="00692DA1">
        <w:rPr>
          <w:lang w:val="vi-VN"/>
        </w:rPr>
        <w:t>Fig. S</w:t>
      </w:r>
      <w:r w:rsidR="002E1339" w:rsidRPr="004D4A74">
        <w:t>17</w:t>
      </w:r>
      <w:r w:rsidRPr="004D4A74">
        <w:rPr>
          <w:lang w:val="vi-VN"/>
        </w:rPr>
        <w:t>). For comparison, symmetric cells using commercial GF separators and liquid electrolyte (LE) were also assembled and tested. The results showed unstable voltage polarization and short-circuiting after approximately 100 hours. Replacing the LE and GF separator with QSSEs based on single MOFs grown on GHF significantly improved the Li plating and stripping process, thereby enhancing the performance of the Li//Li symmetric cells. However, these QSSEs still exhibited some limitations over extended operation periods, such as short-circuiting in the cell with GHF@HKUST-1 QSSE after about 260 hours and a sudden increase in voltage polarization in the cell using GHF@ZIF-8 QSSE after 500 hours. Notably, the QSSE based on the ZIF-8@HKUST-1 core-shell structure grown on GHF overcame these limitations, maintaining excellent performance in Li//Li symmetric cells with the ability to sustain long-term cycling stability for over 850 hours without short-circuiting or significant voltage polarization.</w:t>
      </w:r>
    </w:p>
    <w:bookmarkEnd w:id="10"/>
    <w:bookmarkEnd w:id="11"/>
    <w:p w14:paraId="63E1B112" w14:textId="77777777" w:rsidR="00547197" w:rsidRDefault="00321D18" w:rsidP="00277ACF">
      <w:pPr>
        <w:spacing w:before="120" w:after="120"/>
        <w:jc w:val="center"/>
        <w:rPr>
          <w:b/>
          <w:bCs/>
        </w:rPr>
      </w:pPr>
      <w:r w:rsidRPr="004D4A74">
        <w:rPr>
          <w:b/>
          <w:bCs/>
          <w:noProof/>
          <w:lang w:val="en-IN" w:eastAsia="en-IN"/>
        </w:rPr>
        <w:drawing>
          <wp:inline distT="0" distB="0" distL="0" distR="0" wp14:anchorId="588F97AF" wp14:editId="5D89B21C">
            <wp:extent cx="3880352" cy="5661964"/>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7">
                      <a:extLst>
                        <a:ext uri="{28A0092B-C50C-407E-A947-70E740481C1C}">
                          <a14:useLocalDpi xmlns:a14="http://schemas.microsoft.com/office/drawing/2010/main" val="0"/>
                        </a:ext>
                      </a:extLst>
                    </a:blip>
                    <a:srcRect l="6189" r="41486" b="8826"/>
                    <a:stretch/>
                  </pic:blipFill>
                  <pic:spPr bwMode="auto">
                    <a:xfrm>
                      <a:off x="0" y="0"/>
                      <a:ext cx="3908767" cy="5703425"/>
                    </a:xfrm>
                    <a:prstGeom prst="rect">
                      <a:avLst/>
                    </a:prstGeom>
                    <a:noFill/>
                    <a:ln>
                      <a:noFill/>
                    </a:ln>
                    <a:extLst>
                      <a:ext uri="{53640926-AAD7-44D8-BBD7-CCE9431645EC}">
                        <a14:shadowObscured xmlns:a14="http://schemas.microsoft.com/office/drawing/2010/main"/>
                      </a:ext>
                    </a:extLst>
                  </pic:spPr>
                </pic:pic>
              </a:graphicData>
            </a:graphic>
          </wp:inline>
        </w:drawing>
      </w:r>
    </w:p>
    <w:p w14:paraId="5B75585F" w14:textId="7B77ED09" w:rsidR="00547197" w:rsidRDefault="00277ACF" w:rsidP="00277ACF">
      <w:pPr>
        <w:spacing w:before="120" w:after="120"/>
        <w:jc w:val="both"/>
      </w:pPr>
      <w:r w:rsidRPr="00277ACF">
        <w:rPr>
          <w:b/>
          <w:bCs/>
        </w:rPr>
        <w:t>Fig. S</w:t>
      </w:r>
      <w:r w:rsidR="002E1339" w:rsidRPr="004D4A74">
        <w:rPr>
          <w:b/>
          <w:bCs/>
        </w:rPr>
        <w:t>17</w:t>
      </w:r>
      <w:r w:rsidR="00797771" w:rsidRPr="004D4A74">
        <w:rPr>
          <w:b/>
          <w:bCs/>
          <w:lang w:val="vi-VN"/>
        </w:rPr>
        <w:t xml:space="preserve"> a-d</w:t>
      </w:r>
      <w:r w:rsidR="00797771" w:rsidRPr="004D4A74">
        <w:rPr>
          <w:lang w:val="vi-VN"/>
        </w:rPr>
        <w:t xml:space="preserve">, </w:t>
      </w:r>
      <w:r w:rsidR="00797771" w:rsidRPr="004D4A74">
        <w:t>Galvanostatic cycling of Li//Li symmetric cells assembled with conventional</w:t>
      </w:r>
      <w:r w:rsidR="00797771" w:rsidRPr="004D4A74">
        <w:rPr>
          <w:lang w:val="vi-VN"/>
        </w:rPr>
        <w:t xml:space="preserve"> GF membrane </w:t>
      </w:r>
      <w:r w:rsidR="00797771" w:rsidRPr="004D4A74">
        <w:t xml:space="preserve">combined with typical liquid electrolyte (LE) </w:t>
      </w:r>
      <w:r w:rsidR="00797771" w:rsidRPr="004D4A74">
        <w:rPr>
          <w:lang w:val="vi-VN"/>
        </w:rPr>
        <w:t>(</w:t>
      </w:r>
      <w:r w:rsidR="00797771" w:rsidRPr="00692DA1">
        <w:rPr>
          <w:b/>
          <w:lang w:val="vi-VN"/>
        </w:rPr>
        <w:t>a</w:t>
      </w:r>
      <w:r w:rsidR="00797771" w:rsidRPr="004D4A74">
        <w:rPr>
          <w:lang w:val="vi-VN"/>
        </w:rPr>
        <w:t>) and QSSEs based on GHF@</w:t>
      </w:r>
      <w:r w:rsidR="00D6261F" w:rsidRPr="004D4A74">
        <w:rPr>
          <w:lang w:val="vi-VN"/>
        </w:rPr>
        <w:t>ZIF-8</w:t>
      </w:r>
      <w:r w:rsidR="00797771" w:rsidRPr="004D4A74">
        <w:rPr>
          <w:lang w:val="vi-VN"/>
        </w:rPr>
        <w:t xml:space="preserve"> (</w:t>
      </w:r>
      <w:r w:rsidR="00797771" w:rsidRPr="00692DA1">
        <w:rPr>
          <w:b/>
          <w:lang w:val="vi-VN"/>
        </w:rPr>
        <w:t>b</w:t>
      </w:r>
      <w:r w:rsidR="00797771" w:rsidRPr="004D4A74">
        <w:rPr>
          <w:lang w:val="vi-VN"/>
        </w:rPr>
        <w:t>), GHF@</w:t>
      </w:r>
      <w:r w:rsidR="00D6261F" w:rsidRPr="004D4A74">
        <w:rPr>
          <w:lang w:val="vi-VN"/>
        </w:rPr>
        <w:t>HKUST-1</w:t>
      </w:r>
      <w:r w:rsidR="00797771" w:rsidRPr="004D4A74">
        <w:rPr>
          <w:lang w:val="vi-VN"/>
        </w:rPr>
        <w:t xml:space="preserve"> (</w:t>
      </w:r>
      <w:r w:rsidR="00797771" w:rsidRPr="00692DA1">
        <w:rPr>
          <w:b/>
          <w:lang w:val="vi-VN"/>
        </w:rPr>
        <w:t>c</w:t>
      </w:r>
      <w:r w:rsidR="00797771" w:rsidRPr="004D4A74">
        <w:rPr>
          <w:lang w:val="vi-VN"/>
        </w:rPr>
        <w:t xml:space="preserve">) and </w:t>
      </w:r>
      <w:r w:rsidR="00D6261F" w:rsidRPr="004D4A74">
        <w:rPr>
          <w:rFonts w:eastAsia="Times New Roman"/>
        </w:rPr>
        <w:t>GHF@ZIF</w:t>
      </w:r>
      <w:r w:rsidR="00D6261F" w:rsidRPr="004D4A74">
        <w:rPr>
          <w:rFonts w:eastAsia="Times New Roman"/>
          <w:lang w:val="vi-VN"/>
        </w:rPr>
        <w:t>-8</w:t>
      </w:r>
      <w:r w:rsidR="00D6261F" w:rsidRPr="004D4A74">
        <w:rPr>
          <w:rFonts w:eastAsia="Times New Roman"/>
        </w:rPr>
        <w:t>@HKUST</w:t>
      </w:r>
      <w:r w:rsidR="00D6261F" w:rsidRPr="004D4A74">
        <w:rPr>
          <w:rFonts w:eastAsia="Times New Roman"/>
          <w:lang w:val="vi-VN"/>
        </w:rPr>
        <w:t xml:space="preserve">-1 </w:t>
      </w:r>
      <w:r w:rsidR="00797771" w:rsidRPr="004D4A74">
        <w:rPr>
          <w:lang w:val="vi-VN"/>
        </w:rPr>
        <w:t>(</w:t>
      </w:r>
      <w:r w:rsidR="00797771" w:rsidRPr="00692DA1">
        <w:rPr>
          <w:b/>
          <w:lang w:val="vi-VN"/>
        </w:rPr>
        <w:t>d</w:t>
      </w:r>
      <w:r w:rsidR="00797771" w:rsidRPr="004D4A74">
        <w:rPr>
          <w:lang w:val="vi-VN"/>
        </w:rPr>
        <w:t xml:space="preserve">) </w:t>
      </w:r>
      <w:r w:rsidR="00797771" w:rsidRPr="004D4A74">
        <w:t>at current densities of 1 mA cm</w:t>
      </w:r>
      <w:r w:rsidR="00797771" w:rsidRPr="004D4A74">
        <w:rPr>
          <w:vertAlign w:val="superscript"/>
        </w:rPr>
        <w:t xml:space="preserve">−2 </w:t>
      </w:r>
      <w:r w:rsidR="00692DA1">
        <w:t>at room temperature (RT)</w:t>
      </w:r>
    </w:p>
    <w:p w14:paraId="66F79DD8" w14:textId="5A7CC1A2" w:rsidR="00547197" w:rsidRDefault="00277ACF" w:rsidP="00692DA1">
      <w:pPr>
        <w:spacing w:before="240" w:after="240"/>
        <w:jc w:val="both"/>
        <w:rPr>
          <w:b/>
          <w:bCs/>
          <w:lang w:val="vi-VN"/>
        </w:rPr>
      </w:pPr>
      <w:bookmarkStart w:id="12" w:name="_Hlk211035920"/>
      <w:r w:rsidRPr="00277ACF">
        <w:rPr>
          <w:b/>
          <w:bCs/>
        </w:rPr>
        <w:t>Note S</w:t>
      </w:r>
      <w:r w:rsidR="000327D3" w:rsidRPr="004D4A74">
        <w:rPr>
          <w:b/>
          <w:bCs/>
        </w:rPr>
        <w:t>14 The</w:t>
      </w:r>
      <w:r w:rsidR="000327D3" w:rsidRPr="004D4A74">
        <w:rPr>
          <w:b/>
          <w:bCs/>
          <w:lang w:val="vi-VN"/>
        </w:rPr>
        <w:t xml:space="preserve"> cell performance of Li//LFP cells</w:t>
      </w:r>
      <w:r w:rsidR="00F344F2" w:rsidRPr="004D4A74">
        <w:rPr>
          <w:b/>
          <w:bCs/>
          <w:lang w:val="vi-VN"/>
        </w:rPr>
        <w:t xml:space="preserve"> at room temperature</w:t>
      </w:r>
      <w:bookmarkEnd w:id="12"/>
    </w:p>
    <w:p w14:paraId="5395E8C6" w14:textId="0A604E36" w:rsidR="00692DA1" w:rsidRDefault="000327D3" w:rsidP="00692DA1">
      <w:pPr>
        <w:spacing w:before="120" w:after="120"/>
        <w:jc w:val="both"/>
      </w:pPr>
      <w:r w:rsidRPr="004D4A74">
        <w:t>We evaluated Li//LFP cells at room temperature to confirm the intrinsic electrochemical stability of the MOF-based QSSEs under mild operating conditions (</w:t>
      </w:r>
      <w:r w:rsidR="00277ACF" w:rsidRPr="006A3CB1">
        <w:t>Fig. S</w:t>
      </w:r>
      <w:r w:rsidRPr="006A3CB1">
        <w:t>1</w:t>
      </w:r>
      <w:r w:rsidR="00C92827" w:rsidRPr="006A3CB1">
        <w:t>8</w:t>
      </w:r>
      <w:r w:rsidRPr="004D4A74">
        <w:t xml:space="preserve">). All tested cells maintained stable cycling for 100 cycles with Coulombic efficiencies above 99%. </w:t>
      </w:r>
      <w:r w:rsidRPr="004D4A74">
        <w:rPr>
          <w:rStyle w:val="Strong"/>
          <w:b w:val="0"/>
          <w:bCs w:val="0"/>
        </w:rPr>
        <w:t xml:space="preserve">The GHF@ZIF-8@HKUST-1 QSSE cell delivered a discharge capacity exceeding </w:t>
      </w:r>
      <w:r w:rsidR="00D80669" w:rsidRPr="004D4A74">
        <w:rPr>
          <w:rStyle w:val="Strong"/>
          <w:b w:val="0"/>
          <w:bCs w:val="0"/>
        </w:rPr>
        <w:t>14</w:t>
      </w:r>
      <w:r w:rsidR="006E0256">
        <w:rPr>
          <w:rStyle w:val="Strong"/>
          <w:b w:val="0"/>
          <w:bCs w:val="0"/>
        </w:rPr>
        <w:t>9</w:t>
      </w:r>
      <w:r w:rsidR="00D80669" w:rsidRPr="004D4A74">
        <w:rPr>
          <w:rStyle w:val="Strong"/>
          <w:b w:val="0"/>
          <w:bCs w:val="0"/>
          <w:lang w:val="vi-VN"/>
        </w:rPr>
        <w:t xml:space="preserve"> </w:t>
      </w:r>
      <w:r w:rsidRPr="004D4A74">
        <w:rPr>
          <w:rStyle w:val="Strong"/>
          <w:b w:val="0"/>
          <w:bCs w:val="0"/>
        </w:rPr>
        <w:t>mAh g</w:t>
      </w:r>
      <w:r w:rsidR="002E30CD" w:rsidRPr="004D4A74">
        <w:rPr>
          <w:rStyle w:val="Strong"/>
          <w:b w:val="0"/>
          <w:bCs w:val="0"/>
          <w:vertAlign w:val="superscript"/>
        </w:rPr>
        <w:t>-1</w:t>
      </w:r>
      <w:r w:rsidR="002E30CD" w:rsidRPr="004D4A74">
        <w:rPr>
          <w:rStyle w:val="Strong"/>
          <w:b w:val="0"/>
          <w:bCs w:val="0"/>
        </w:rPr>
        <w:t xml:space="preserve"> after 100 cycles</w:t>
      </w:r>
      <w:r w:rsidRPr="004D4A74">
        <w:rPr>
          <w:rStyle w:val="Strong"/>
          <w:b w:val="0"/>
          <w:bCs w:val="0"/>
        </w:rPr>
        <w:t xml:space="preserve">, which was </w:t>
      </w:r>
      <w:r w:rsidR="00D80669" w:rsidRPr="004D4A74">
        <w:rPr>
          <w:rStyle w:val="Strong"/>
          <w:b w:val="0"/>
          <w:bCs w:val="0"/>
        </w:rPr>
        <w:t>1</w:t>
      </w:r>
      <w:r w:rsidR="00D80669" w:rsidRPr="004D4A74">
        <w:rPr>
          <w:rStyle w:val="Strong"/>
          <w:b w:val="0"/>
          <w:bCs w:val="0"/>
          <w:lang w:val="vi-VN"/>
        </w:rPr>
        <w:t xml:space="preserve">.16 </w:t>
      </w:r>
      <w:r w:rsidR="00B222C0" w:rsidRPr="004D4A74">
        <w:rPr>
          <w:rStyle w:val="Strong"/>
          <w:b w:val="0"/>
          <w:bCs w:val="0"/>
        </w:rPr>
        <w:t xml:space="preserve">times </w:t>
      </w:r>
      <w:r w:rsidRPr="004D4A74">
        <w:rPr>
          <w:rStyle w:val="Strong"/>
          <w:b w:val="0"/>
          <w:bCs w:val="0"/>
        </w:rPr>
        <w:t xml:space="preserve">higher than that of the control GF+LE cell (approximately </w:t>
      </w:r>
      <w:r w:rsidR="00D80669" w:rsidRPr="004D4A74">
        <w:rPr>
          <w:rStyle w:val="Strong"/>
          <w:b w:val="0"/>
          <w:bCs w:val="0"/>
        </w:rPr>
        <w:t>128</w:t>
      </w:r>
      <w:r w:rsidR="00D80669" w:rsidRPr="004D4A74">
        <w:rPr>
          <w:rStyle w:val="Strong"/>
          <w:b w:val="0"/>
          <w:bCs w:val="0"/>
          <w:lang w:val="vi-VN"/>
        </w:rPr>
        <w:t xml:space="preserve"> </w:t>
      </w:r>
      <w:r w:rsidRPr="004D4A74">
        <w:rPr>
          <w:rStyle w:val="Strong"/>
          <w:b w:val="0"/>
          <w:bCs w:val="0"/>
        </w:rPr>
        <w:t>mAh g⁻¹), and retained more than 98% of its capacity after 100 cycles.</w:t>
      </w:r>
      <w:r w:rsidRPr="004D4A74">
        <w:t xml:space="preserve"> The GF+LE cell exhibited relatively lower discharge capacity, which we attribute to the formation of a thicker SEI due to strongly solvated Li⁺. This interpretation is further supported by the abnormal polarization evolution observed </w:t>
      </w:r>
      <w:r w:rsidRPr="00692DA1">
        <w:t xml:space="preserve">in </w:t>
      </w:r>
      <w:r w:rsidR="00277ACF" w:rsidRPr="00692DA1">
        <w:t>Fig. S</w:t>
      </w:r>
      <w:r w:rsidR="00C92827" w:rsidRPr="00692DA1">
        <w:t>19</w:t>
      </w:r>
      <w:r w:rsidRPr="004D4A74">
        <w:t xml:space="preserve">, where the overpotential of the GF+LE cell initially decreased but subsequently increased after prolonged cycling, reflecting unstable interfacial chemistry and repeated SEI reconstruction. </w:t>
      </w:r>
      <w:r w:rsidRPr="004D4A74">
        <w:rPr>
          <w:rStyle w:val="Strong"/>
          <w:b w:val="0"/>
          <w:bCs w:val="0"/>
        </w:rPr>
        <w:t>Quantitatively, the overpotential (ΔV) of the GF+LE cell exceeded 170 mV after 10 cycles, nearly 1.</w:t>
      </w:r>
      <w:r w:rsidR="00D80669" w:rsidRPr="004D4A74">
        <w:rPr>
          <w:rStyle w:val="Strong"/>
          <w:b w:val="0"/>
          <w:bCs w:val="0"/>
        </w:rPr>
        <w:t>4</w:t>
      </w:r>
      <w:r w:rsidRPr="004D4A74">
        <w:rPr>
          <w:rStyle w:val="Strong"/>
          <w:b w:val="0"/>
          <w:bCs w:val="0"/>
        </w:rPr>
        <w:t xml:space="preserve"> times higher than that of the GHF@ZIF-8@HKUST-1 QSSE (around </w:t>
      </w:r>
      <w:r w:rsidR="00D80669" w:rsidRPr="004D4A74">
        <w:rPr>
          <w:rStyle w:val="Strong"/>
          <w:b w:val="0"/>
          <w:bCs w:val="0"/>
        </w:rPr>
        <w:t>12</w:t>
      </w:r>
      <w:r w:rsidRPr="004D4A74">
        <w:rPr>
          <w:rStyle w:val="Strong"/>
          <w:b w:val="0"/>
          <w:bCs w:val="0"/>
        </w:rPr>
        <w:t>0 mV), indicating severe interfacial polarization in the MOF-free system.</w:t>
      </w:r>
      <w:r w:rsidRPr="004D4A74">
        <w:t xml:space="preserve"> In contrast, the MOF-based QSSEs promoted partial desolvation of Li⁺ and the formation of a thinner, more conductive SEI, resulting in improved discharge capacity and interfacial stability. Notably, the GHF@ZIF-8@HKUST-1 QSSE maintained a consistently low and stable polarization throughout cycling, underscoring the effectiveness of MOF confinement in promoting partial Li⁺ desolvation and stabilizing the electrode and electrolyte interface. </w:t>
      </w:r>
      <w:r w:rsidRPr="004D4A74">
        <w:rPr>
          <w:rStyle w:val="Strong"/>
          <w:b w:val="0"/>
          <w:bCs w:val="0"/>
        </w:rPr>
        <w:t>Furthermore, EIS measurements of Li//LFP full cells (</w:t>
      </w:r>
      <w:r w:rsidR="006A3CB1" w:rsidRPr="006A3CB1">
        <w:rPr>
          <w:rStyle w:val="Strong"/>
          <w:b w:val="0"/>
          <w:bCs w:val="0"/>
        </w:rPr>
        <w:t>Fig. S</w:t>
      </w:r>
      <w:r w:rsidRPr="006A3CB1">
        <w:rPr>
          <w:rStyle w:val="Strong"/>
          <w:b w:val="0"/>
          <w:bCs w:val="0"/>
        </w:rPr>
        <w:t>2</w:t>
      </w:r>
      <w:r w:rsidR="00C92827" w:rsidRPr="006A3CB1">
        <w:rPr>
          <w:rStyle w:val="Strong"/>
          <w:b w:val="0"/>
          <w:bCs w:val="0"/>
        </w:rPr>
        <w:t>0</w:t>
      </w:r>
      <w:r w:rsidRPr="004D4A74">
        <w:rPr>
          <w:rStyle w:val="Strong"/>
          <w:b w:val="0"/>
          <w:bCs w:val="0"/>
        </w:rPr>
        <w:t>) revealed a significantly lower charge-transfer resistance (R</w:t>
      </w:r>
      <w:r w:rsidRPr="004D4A74">
        <w:rPr>
          <w:rStyle w:val="Strong"/>
          <w:b w:val="0"/>
          <w:bCs w:val="0"/>
          <w:vertAlign w:val="subscript"/>
        </w:rPr>
        <w:t>ct</w:t>
      </w:r>
      <w:r w:rsidRPr="004D4A74">
        <w:rPr>
          <w:rStyle w:val="Strong"/>
          <w:b w:val="0"/>
          <w:bCs w:val="0"/>
        </w:rPr>
        <w:t xml:space="preserve"> approximately 26 Ω) for the GHF@ZIF-8@HKUST-1 QSSE compared to the GF+LE cell (R</w:t>
      </w:r>
      <w:r w:rsidRPr="004D4A74">
        <w:rPr>
          <w:rStyle w:val="Strong"/>
          <w:b w:val="0"/>
          <w:bCs w:val="0"/>
          <w:vertAlign w:val="subscript"/>
        </w:rPr>
        <w:t>ct</w:t>
      </w:r>
      <w:r w:rsidRPr="004D4A74">
        <w:rPr>
          <w:rStyle w:val="Strong"/>
          <w:b w:val="0"/>
          <w:bCs w:val="0"/>
        </w:rPr>
        <w:t xml:space="preserve"> approximately 42 Ω). This lower resistance demonstrates more favorable Li⁺ migration and interfacial kinetics within the MOF-confined electrolyte, where partial desolvation reduces the energy barrier for charge transfer and prevents the accumulation of resistive interphases during cycling.</w:t>
      </w:r>
      <w:r w:rsidRPr="004D4A74">
        <w:t xml:space="preserve"> </w:t>
      </w:r>
    </w:p>
    <w:p w14:paraId="3CC9E577" w14:textId="7796144E" w:rsidR="00547197" w:rsidRDefault="008839C7" w:rsidP="00692DA1">
      <w:pPr>
        <w:spacing w:before="120" w:after="120"/>
        <w:jc w:val="center"/>
      </w:pPr>
      <w:r w:rsidRPr="004D4A74">
        <w:rPr>
          <w:noProof/>
          <w:lang w:val="en-IN" w:eastAsia="en-IN"/>
        </w:rPr>
        <w:drawing>
          <wp:inline distT="0" distB="0" distL="0" distR="0" wp14:anchorId="536F853E" wp14:editId="55C88E25">
            <wp:extent cx="4337913" cy="6378243"/>
            <wp:effectExtent l="0" t="0" r="571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62631" cy="6414588"/>
                    </a:xfrm>
                    <a:prstGeom prst="rect">
                      <a:avLst/>
                    </a:prstGeom>
                    <a:noFill/>
                    <a:ln>
                      <a:noFill/>
                    </a:ln>
                  </pic:spPr>
                </pic:pic>
              </a:graphicData>
            </a:graphic>
          </wp:inline>
        </w:drawing>
      </w:r>
    </w:p>
    <w:p w14:paraId="25AE10C2" w14:textId="5E807EA8" w:rsidR="00547197" w:rsidRDefault="00692DA1" w:rsidP="00277ACF">
      <w:pPr>
        <w:spacing w:before="120" w:after="120"/>
        <w:jc w:val="both"/>
        <w:rPr>
          <w:b/>
          <w:bCs/>
          <w:lang w:val="vi-VN"/>
        </w:rPr>
      </w:pPr>
      <w:r>
        <w:rPr>
          <w:b/>
          <w:bCs/>
        </w:rPr>
        <w:t>Fig. S</w:t>
      </w:r>
      <w:r w:rsidR="000554B3" w:rsidRPr="004D4A74">
        <w:rPr>
          <w:b/>
          <w:bCs/>
          <w:lang w:val="vi-VN"/>
        </w:rPr>
        <w:t>18</w:t>
      </w:r>
      <w:r w:rsidR="008839C7" w:rsidRPr="004D4A74">
        <w:rPr>
          <w:b/>
          <w:bCs/>
          <w:lang w:val="vi-VN"/>
        </w:rPr>
        <w:t xml:space="preserve"> a-</w:t>
      </w:r>
      <w:r w:rsidR="00BB0E70" w:rsidRPr="004D4A74">
        <w:rPr>
          <w:b/>
          <w:bCs/>
          <w:lang w:val="vi-VN"/>
        </w:rPr>
        <w:t>h</w:t>
      </w:r>
      <w:r w:rsidR="008839C7" w:rsidRPr="004D4A74">
        <w:rPr>
          <w:lang w:val="vi-VN"/>
        </w:rPr>
        <w:t xml:space="preserve">, </w:t>
      </w:r>
      <w:r w:rsidR="008839C7" w:rsidRPr="004D4A74">
        <w:t>The cyclic performance of</w:t>
      </w:r>
      <w:r w:rsidR="008839C7" w:rsidRPr="004D4A74">
        <w:rPr>
          <w:lang w:val="vi-VN"/>
        </w:rPr>
        <w:t xml:space="preserve"> Li//LFP cells at room temperature using: GF + LE (</w:t>
      </w:r>
      <w:r w:rsidR="008839C7" w:rsidRPr="004D4A74">
        <w:rPr>
          <w:b/>
          <w:bCs/>
          <w:lang w:val="vi-VN"/>
        </w:rPr>
        <w:t>a, b</w:t>
      </w:r>
      <w:r w:rsidR="008839C7" w:rsidRPr="004D4A74">
        <w:rPr>
          <w:lang w:val="vi-VN"/>
        </w:rPr>
        <w:t xml:space="preserve">), </w:t>
      </w:r>
      <w:r w:rsidR="00BB0E70" w:rsidRPr="004D4A74">
        <w:rPr>
          <w:lang w:val="vi-VN"/>
        </w:rPr>
        <w:t>GHF@ZIF-8</w:t>
      </w:r>
      <w:r w:rsidR="00BB0E70" w:rsidRPr="004D4A74">
        <w:t xml:space="preserve"> </w:t>
      </w:r>
      <w:r w:rsidR="00BB0E70" w:rsidRPr="004D4A74">
        <w:rPr>
          <w:lang w:val="vi-VN"/>
        </w:rPr>
        <w:t>(</w:t>
      </w:r>
      <w:r w:rsidR="00BB0E70" w:rsidRPr="004D4A74">
        <w:rPr>
          <w:b/>
          <w:bCs/>
          <w:lang w:val="vi-VN"/>
        </w:rPr>
        <w:t>c, d</w:t>
      </w:r>
      <w:r w:rsidR="00BB0E70" w:rsidRPr="004D4A74">
        <w:rPr>
          <w:lang w:val="vi-VN"/>
        </w:rPr>
        <w:t>), GHF@HKUST-1</w:t>
      </w:r>
      <w:r w:rsidR="00BB0E70" w:rsidRPr="004D4A74">
        <w:t xml:space="preserve"> </w:t>
      </w:r>
      <w:r w:rsidR="00BB0E70" w:rsidRPr="004D4A74">
        <w:rPr>
          <w:lang w:val="vi-VN"/>
        </w:rPr>
        <w:t>(</w:t>
      </w:r>
      <w:r w:rsidR="00BB0E70" w:rsidRPr="004D4A74">
        <w:rPr>
          <w:b/>
          <w:bCs/>
          <w:lang w:val="vi-VN"/>
        </w:rPr>
        <w:t xml:space="preserve">e, f), </w:t>
      </w:r>
      <w:r w:rsidR="00BB0E70" w:rsidRPr="004D4A74">
        <w:rPr>
          <w:lang w:val="vi-VN"/>
        </w:rPr>
        <w:t>and GHF@ZIF-8@HKUST-1</w:t>
      </w:r>
      <w:r w:rsidR="00BB0E70" w:rsidRPr="004D4A74">
        <w:t xml:space="preserve"> </w:t>
      </w:r>
      <w:r w:rsidR="00BB0E70" w:rsidRPr="004D4A74">
        <w:rPr>
          <w:lang w:val="vi-VN"/>
        </w:rPr>
        <w:t>(</w:t>
      </w:r>
      <w:r>
        <w:rPr>
          <w:b/>
          <w:bCs/>
          <w:lang w:val="vi-VN"/>
        </w:rPr>
        <w:t>g, h)</w:t>
      </w:r>
    </w:p>
    <w:p w14:paraId="159943BF" w14:textId="77777777" w:rsidR="00547197" w:rsidRDefault="00EB286B" w:rsidP="00277ACF">
      <w:pPr>
        <w:spacing w:before="120" w:after="120"/>
        <w:rPr>
          <w:rFonts w:eastAsia="Times New Roman"/>
        </w:rPr>
      </w:pPr>
      <w:r w:rsidRPr="004D4A74">
        <w:rPr>
          <w:rFonts w:eastAsia="Times New Roman"/>
          <w:noProof/>
          <w:lang w:val="en-IN" w:eastAsia="en-IN"/>
        </w:rPr>
        <w:drawing>
          <wp:inline distT="0" distB="0" distL="0" distR="0" wp14:anchorId="0FBC930E" wp14:editId="506243E5">
            <wp:extent cx="5940563" cy="3334549"/>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9">
                      <a:extLst>
                        <a:ext uri="{28A0092B-C50C-407E-A947-70E740481C1C}">
                          <a14:useLocalDpi xmlns:a14="http://schemas.microsoft.com/office/drawing/2010/main" val="0"/>
                        </a:ext>
                      </a:extLst>
                    </a:blip>
                    <a:srcRect r="2625"/>
                    <a:stretch/>
                  </pic:blipFill>
                  <pic:spPr bwMode="auto">
                    <a:xfrm>
                      <a:off x="0" y="0"/>
                      <a:ext cx="5946341" cy="3337792"/>
                    </a:xfrm>
                    <a:prstGeom prst="rect">
                      <a:avLst/>
                    </a:prstGeom>
                    <a:noFill/>
                    <a:ln>
                      <a:noFill/>
                    </a:ln>
                    <a:extLst>
                      <a:ext uri="{53640926-AAD7-44D8-BBD7-CCE9431645EC}">
                        <a14:shadowObscured xmlns:a14="http://schemas.microsoft.com/office/drawing/2010/main"/>
                      </a:ext>
                    </a:extLst>
                  </pic:spPr>
                </pic:pic>
              </a:graphicData>
            </a:graphic>
          </wp:inline>
        </w:drawing>
      </w:r>
    </w:p>
    <w:p w14:paraId="6E37F359" w14:textId="5C41E578" w:rsidR="00547197" w:rsidRDefault="00277ACF" w:rsidP="00692DA1">
      <w:pPr>
        <w:spacing w:before="120" w:after="120"/>
        <w:jc w:val="both"/>
        <w:rPr>
          <w:b/>
          <w:bCs/>
          <w:lang w:val="vi-VN"/>
        </w:rPr>
      </w:pPr>
      <w:r w:rsidRPr="00277ACF">
        <w:rPr>
          <w:b/>
          <w:bCs/>
        </w:rPr>
        <w:t>Fig. S</w:t>
      </w:r>
      <w:r w:rsidR="000554B3" w:rsidRPr="004D4A74">
        <w:rPr>
          <w:b/>
          <w:bCs/>
          <w:lang w:val="vi-VN"/>
        </w:rPr>
        <w:t>19</w:t>
      </w:r>
      <w:r w:rsidR="00EB286B" w:rsidRPr="004D4A74">
        <w:rPr>
          <w:b/>
          <w:bCs/>
          <w:lang w:val="vi-VN"/>
        </w:rPr>
        <w:t xml:space="preserve"> a-e</w:t>
      </w:r>
      <w:r w:rsidR="00EB286B" w:rsidRPr="004D4A74">
        <w:rPr>
          <w:lang w:val="vi-VN"/>
        </w:rPr>
        <w:t xml:space="preserve">, </w:t>
      </w:r>
      <w:r w:rsidR="00EB286B" w:rsidRPr="004D4A74">
        <w:t xml:space="preserve">The galvanostatic charge–discharge </w:t>
      </w:r>
      <w:r w:rsidR="00EB286B" w:rsidRPr="004D4A74">
        <w:rPr>
          <w:lang w:val="vi-VN"/>
        </w:rPr>
        <w:t>(</w:t>
      </w:r>
      <w:r w:rsidR="00EB286B" w:rsidRPr="004D4A74">
        <w:t>GCD</w:t>
      </w:r>
      <w:r w:rsidR="00EB286B" w:rsidRPr="004D4A74">
        <w:rPr>
          <w:lang w:val="vi-VN"/>
        </w:rPr>
        <w:t xml:space="preserve">) curves </w:t>
      </w:r>
      <w:r w:rsidR="00EB286B" w:rsidRPr="004D4A74">
        <w:t>of</w:t>
      </w:r>
      <w:r w:rsidR="00EB286B" w:rsidRPr="004D4A74">
        <w:rPr>
          <w:lang w:val="vi-VN"/>
        </w:rPr>
        <w:t xml:space="preserve"> Li//LFP cells using GF + LE</w:t>
      </w:r>
      <w:r w:rsidR="00EB286B" w:rsidRPr="004D4A74">
        <w:rPr>
          <w:b/>
          <w:bCs/>
          <w:lang w:val="vi-VN"/>
        </w:rPr>
        <w:t xml:space="preserve"> </w:t>
      </w:r>
      <w:r w:rsidR="00EB286B" w:rsidRPr="004D4A74">
        <w:rPr>
          <w:lang w:val="vi-VN"/>
        </w:rPr>
        <w:t>and GHF@ZIF-8@HKUST-1</w:t>
      </w:r>
      <w:r w:rsidR="00EB286B" w:rsidRPr="004D4A74">
        <w:t xml:space="preserve"> </w:t>
      </w:r>
      <w:r w:rsidR="00EB286B" w:rsidRPr="004D4A74">
        <w:rPr>
          <w:lang w:val="vi-VN"/>
        </w:rPr>
        <w:t>at room temperature at different cycles</w:t>
      </w:r>
      <w:r w:rsidR="00EB286B" w:rsidRPr="004D4A74">
        <w:rPr>
          <w:b/>
          <w:bCs/>
          <w:lang w:val="vi-VN"/>
        </w:rPr>
        <w:t xml:space="preserve">. f, </w:t>
      </w:r>
      <w:r w:rsidR="00EB286B" w:rsidRPr="004D4A74">
        <w:rPr>
          <w:lang w:val="vi-VN"/>
        </w:rPr>
        <w:t>Comparison of voltage polarization evolution of Li//LFP cells using GF + LE and GHF@ZIF-8@HKUST-1 QSSE over 100</w:t>
      </w:r>
      <w:r w:rsidR="00692DA1">
        <w:rPr>
          <w:lang w:val="vi-VN"/>
        </w:rPr>
        <w:t xml:space="preserve"> cycles at room temperature</w:t>
      </w:r>
    </w:p>
    <w:p w14:paraId="7F8F5C2C" w14:textId="77777777" w:rsidR="00547197" w:rsidRDefault="009A16A0" w:rsidP="00277ACF">
      <w:pPr>
        <w:spacing w:before="120" w:after="120"/>
        <w:jc w:val="center"/>
        <w:rPr>
          <w:b/>
          <w:color w:val="0000FF"/>
          <w:shd w:val="clear" w:color="auto" w:fill="FFFFFF"/>
        </w:rPr>
      </w:pPr>
      <w:r w:rsidRPr="004D4A74">
        <w:rPr>
          <w:b/>
          <w:noProof/>
          <w:color w:val="0000FF"/>
          <w:shd w:val="clear" w:color="auto" w:fill="FFFFFF"/>
          <w:lang w:val="en-IN" w:eastAsia="en-IN"/>
        </w:rPr>
        <w:drawing>
          <wp:inline distT="0" distB="0" distL="0" distR="0" wp14:anchorId="0130DF11" wp14:editId="3433D084">
            <wp:extent cx="3139613" cy="27750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a:extLst>
                        <a:ext uri="{28A0092B-C50C-407E-A947-70E740481C1C}">
                          <a14:useLocalDpi xmlns:a14="http://schemas.microsoft.com/office/drawing/2010/main" val="0"/>
                        </a:ext>
                      </a:extLst>
                    </a:blip>
                    <a:srcRect l="4057" r="9343"/>
                    <a:stretch/>
                  </pic:blipFill>
                  <pic:spPr bwMode="auto">
                    <a:xfrm>
                      <a:off x="0" y="0"/>
                      <a:ext cx="3159280" cy="2792389"/>
                    </a:xfrm>
                    <a:prstGeom prst="rect">
                      <a:avLst/>
                    </a:prstGeom>
                    <a:noFill/>
                    <a:ln>
                      <a:noFill/>
                    </a:ln>
                    <a:extLst>
                      <a:ext uri="{53640926-AAD7-44D8-BBD7-CCE9431645EC}">
                        <a14:shadowObscured xmlns:a14="http://schemas.microsoft.com/office/drawing/2010/main"/>
                      </a:ext>
                    </a:extLst>
                  </pic:spPr>
                </pic:pic>
              </a:graphicData>
            </a:graphic>
          </wp:inline>
        </w:drawing>
      </w:r>
    </w:p>
    <w:p w14:paraId="086420B4" w14:textId="472BC603" w:rsidR="00547197" w:rsidRDefault="00692DA1" w:rsidP="00692DA1">
      <w:pPr>
        <w:spacing w:before="120" w:after="120"/>
        <w:jc w:val="both"/>
        <w:rPr>
          <w:bCs/>
          <w:shd w:val="clear" w:color="auto" w:fill="FFFFFF"/>
          <w:lang w:val="vi-VN"/>
        </w:rPr>
      </w:pPr>
      <w:r>
        <w:rPr>
          <w:b/>
          <w:bCs/>
        </w:rPr>
        <w:t>Fig. S</w:t>
      </w:r>
      <w:r w:rsidR="000554B3" w:rsidRPr="004D4A74">
        <w:rPr>
          <w:b/>
          <w:bCs/>
          <w:lang w:val="vi-VN"/>
        </w:rPr>
        <w:t>20</w:t>
      </w:r>
      <w:r w:rsidR="009A16A0" w:rsidRPr="004D4A74">
        <w:rPr>
          <w:b/>
          <w:bCs/>
          <w:lang w:val="vi-VN"/>
        </w:rPr>
        <w:t xml:space="preserve"> </w:t>
      </w:r>
      <w:r w:rsidR="009A16A0" w:rsidRPr="004D4A74">
        <w:rPr>
          <w:lang w:val="vi-VN"/>
        </w:rPr>
        <w:t xml:space="preserve"> </w:t>
      </w:r>
      <w:r w:rsidR="00C4114C" w:rsidRPr="004D4A74">
        <w:rPr>
          <w:lang w:val="vi-VN"/>
        </w:rPr>
        <w:t>Nyquist plots of Li//LFP full cells using GF + LE and GHF@ZIF-8@H</w:t>
      </w:r>
      <w:r>
        <w:rPr>
          <w:lang w:val="vi-VN"/>
        </w:rPr>
        <w:t>KUST-1 QSSE at room temperature</w:t>
      </w:r>
    </w:p>
    <w:p w14:paraId="65C62061" w14:textId="71930B8B" w:rsidR="00547197" w:rsidRPr="00692DA1" w:rsidRDefault="00277ACF" w:rsidP="00692DA1">
      <w:pPr>
        <w:spacing w:before="240" w:after="240"/>
        <w:jc w:val="both"/>
        <w:rPr>
          <w:b/>
          <w:bCs/>
        </w:rPr>
      </w:pPr>
      <w:bookmarkStart w:id="13" w:name="_Hlk211036638"/>
      <w:r w:rsidRPr="00277ACF">
        <w:rPr>
          <w:b/>
          <w:bCs/>
        </w:rPr>
        <w:t>Note S</w:t>
      </w:r>
      <w:r w:rsidR="000327D3" w:rsidRPr="004D4A74">
        <w:rPr>
          <w:b/>
          <w:bCs/>
        </w:rPr>
        <w:t>1</w:t>
      </w:r>
      <w:r w:rsidR="00F344F2" w:rsidRPr="004D4A74">
        <w:rPr>
          <w:b/>
          <w:bCs/>
        </w:rPr>
        <w:t>5</w:t>
      </w:r>
      <w:r w:rsidR="000327D3" w:rsidRPr="004D4A74">
        <w:rPr>
          <w:b/>
          <w:bCs/>
        </w:rPr>
        <w:t xml:space="preserve"> </w:t>
      </w:r>
      <w:r w:rsidR="00C92827" w:rsidRPr="004D4A74">
        <w:rPr>
          <w:b/>
          <w:bCs/>
        </w:rPr>
        <w:t>Contact angle measurement of MOF-based separators</w:t>
      </w:r>
      <w:bookmarkEnd w:id="13"/>
    </w:p>
    <w:p w14:paraId="1895465F" w14:textId="71854B35" w:rsidR="00547197" w:rsidRDefault="000327D3" w:rsidP="00277ACF">
      <w:pPr>
        <w:spacing w:before="120" w:after="120"/>
        <w:jc w:val="both"/>
      </w:pPr>
      <w:r w:rsidRPr="004D4A74">
        <w:t>To validate the influence of interfacial wetting on cell performance, contact angle measurements were performed with the liquid electrolyte on different GHF@MOF membranes (</w:t>
      </w:r>
      <w:r w:rsidR="00277ACF" w:rsidRPr="006A3CB1">
        <w:t>Fig. S</w:t>
      </w:r>
      <w:r w:rsidR="00C92827" w:rsidRPr="006A3CB1">
        <w:t>21</w:t>
      </w:r>
      <w:r w:rsidRPr="004D4A74">
        <w:t>). The GHF@ZIF-8 membrane exhibited a relatively high contact angle (36.7°), indicating poor wettability and limited electrolyte infiltration. In contrast, the GHF@HKUST-1 membrane showed a much lower contact angle (11.7°), confirming enhanced wettability due to its hydrophilic nature and open metal sites. The core–shell GHF@ZIF-8@HKUST-1 membrane displayed an intermediate contact angle (19.1°), demonstrating that the outer HKUST-1 shell significantly improves electrolyte affinity compared to ZIF-8 alone. These results provide direct evidence that improved interfacial wetting contributes to the enhanced cycling stability of MOF-based QSSEs, particularly under high-temperature operation.</w:t>
      </w:r>
    </w:p>
    <w:p w14:paraId="325FA1AA" w14:textId="77777777" w:rsidR="00547197" w:rsidRDefault="000327D3" w:rsidP="00277ACF">
      <w:pPr>
        <w:spacing w:before="120" w:after="120"/>
        <w:jc w:val="center"/>
        <w:rPr>
          <w:rFonts w:eastAsia="Times New Roman"/>
          <w:lang w:val="en-US" w:eastAsia="ko-KR"/>
        </w:rPr>
      </w:pPr>
      <w:r w:rsidRPr="004D4A74">
        <w:rPr>
          <w:rFonts w:eastAsia="Times New Roman"/>
          <w:noProof/>
          <w:lang w:val="en-IN" w:eastAsia="en-IN"/>
        </w:rPr>
        <w:drawing>
          <wp:inline distT="0" distB="0" distL="0" distR="0" wp14:anchorId="7630DA4D" wp14:editId="7363AC99">
            <wp:extent cx="2677363" cy="3804400"/>
            <wp:effectExtent l="0" t="0" r="8890" b="5715"/>
            <wp:docPr id="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83121" cy="3812582"/>
                    </a:xfrm>
                    <a:prstGeom prst="rect">
                      <a:avLst/>
                    </a:prstGeom>
                    <a:noFill/>
                    <a:ln>
                      <a:noFill/>
                    </a:ln>
                  </pic:spPr>
                </pic:pic>
              </a:graphicData>
            </a:graphic>
          </wp:inline>
        </w:drawing>
      </w:r>
    </w:p>
    <w:p w14:paraId="01CE550C" w14:textId="113F9ADE" w:rsidR="00547197" w:rsidRDefault="00277ACF" w:rsidP="00692DA1">
      <w:pPr>
        <w:spacing w:before="120" w:after="120"/>
        <w:jc w:val="both"/>
      </w:pPr>
      <w:r w:rsidRPr="00277ACF">
        <w:rPr>
          <w:b/>
          <w:bCs/>
          <w:color w:val="000000" w:themeColor="text1"/>
        </w:rPr>
        <w:t>Fig. S</w:t>
      </w:r>
      <w:r w:rsidR="000554B3" w:rsidRPr="004D4A74">
        <w:rPr>
          <w:b/>
          <w:bCs/>
          <w:color w:val="000000" w:themeColor="text1"/>
        </w:rPr>
        <w:t>21</w:t>
      </w:r>
      <w:r w:rsidR="000327D3" w:rsidRPr="004D4A74">
        <w:rPr>
          <w:b/>
          <w:bCs/>
          <w:color w:val="000000" w:themeColor="text1"/>
        </w:rPr>
        <w:t xml:space="preserve"> a-c, </w:t>
      </w:r>
      <w:r w:rsidR="000327D3" w:rsidRPr="004D4A74">
        <w:rPr>
          <w:color w:val="000000" w:themeColor="text1"/>
        </w:rPr>
        <w:t xml:space="preserve">Contact angle measurement of MOF-based separators: GHF@ZIF-8 </w:t>
      </w:r>
      <w:r w:rsidR="000327D3" w:rsidRPr="004D4A74">
        <w:rPr>
          <w:b/>
          <w:bCs/>
          <w:color w:val="000000" w:themeColor="text1"/>
        </w:rPr>
        <w:t>(a)</w:t>
      </w:r>
      <w:r w:rsidR="000327D3" w:rsidRPr="004D4A74">
        <w:rPr>
          <w:color w:val="000000" w:themeColor="text1"/>
        </w:rPr>
        <w:t>,</w:t>
      </w:r>
      <w:r w:rsidR="000327D3" w:rsidRPr="004D4A74">
        <w:rPr>
          <w:b/>
          <w:bCs/>
          <w:color w:val="000000" w:themeColor="text1"/>
        </w:rPr>
        <w:t xml:space="preserve"> </w:t>
      </w:r>
      <w:r w:rsidR="000327D3" w:rsidRPr="004D4A74">
        <w:rPr>
          <w:color w:val="000000" w:themeColor="text1"/>
        </w:rPr>
        <w:t>GHF@HKUST-1</w:t>
      </w:r>
      <w:r w:rsidR="000327D3" w:rsidRPr="004D4A74">
        <w:rPr>
          <w:b/>
          <w:bCs/>
          <w:color w:val="000000" w:themeColor="text1"/>
        </w:rPr>
        <w:t xml:space="preserve"> (b)</w:t>
      </w:r>
      <w:r w:rsidR="000327D3" w:rsidRPr="004D4A74">
        <w:rPr>
          <w:color w:val="000000" w:themeColor="text1"/>
        </w:rPr>
        <w:t>,</w:t>
      </w:r>
      <w:r w:rsidR="000327D3" w:rsidRPr="004D4A74">
        <w:rPr>
          <w:b/>
          <w:bCs/>
          <w:color w:val="000000" w:themeColor="text1"/>
        </w:rPr>
        <w:t xml:space="preserve"> </w:t>
      </w:r>
      <w:r w:rsidR="000327D3" w:rsidRPr="004D4A74">
        <w:rPr>
          <w:color w:val="000000" w:themeColor="text1"/>
        </w:rPr>
        <w:t>and GHF@ZIF-8@HKUST-1</w:t>
      </w:r>
      <w:r w:rsidR="000327D3" w:rsidRPr="004D4A74">
        <w:rPr>
          <w:b/>
          <w:bCs/>
          <w:color w:val="000000" w:themeColor="text1"/>
        </w:rPr>
        <w:t xml:space="preserve"> (c)</w:t>
      </w:r>
    </w:p>
    <w:p w14:paraId="7EE123B4" w14:textId="1005E615" w:rsidR="00547197" w:rsidRDefault="00277ACF" w:rsidP="00692DA1">
      <w:pPr>
        <w:spacing w:before="240" w:after="240"/>
        <w:jc w:val="both"/>
        <w:rPr>
          <w:b/>
          <w:bCs/>
          <w:lang w:val="vi-VN"/>
        </w:rPr>
      </w:pPr>
      <w:bookmarkStart w:id="14" w:name="_Hlk211036660"/>
      <w:r w:rsidRPr="00277ACF">
        <w:rPr>
          <w:b/>
          <w:bCs/>
        </w:rPr>
        <w:t>Note S</w:t>
      </w:r>
      <w:r w:rsidR="000554B3" w:rsidRPr="004D4A74">
        <w:rPr>
          <w:b/>
          <w:bCs/>
        </w:rPr>
        <w:t xml:space="preserve">16 </w:t>
      </w:r>
      <w:r w:rsidR="00711513" w:rsidRPr="004D4A74">
        <w:rPr>
          <w:b/>
          <w:bCs/>
        </w:rPr>
        <w:t xml:space="preserve">Robust SEI layers </w:t>
      </w:r>
      <w:r w:rsidR="00711513" w:rsidRPr="004D4A74">
        <w:rPr>
          <w:b/>
          <w:bCs/>
          <w:lang w:val="vi-VN"/>
        </w:rPr>
        <w:t>of core-shell MOF-based QSSE</w:t>
      </w:r>
      <w:bookmarkEnd w:id="14"/>
    </w:p>
    <w:p w14:paraId="5A48E83E" w14:textId="3EA67129" w:rsidR="00547197" w:rsidRDefault="000554B3" w:rsidP="00277ACF">
      <w:pPr>
        <w:spacing w:before="120" w:after="120"/>
        <w:jc w:val="both"/>
      </w:pPr>
      <w:r w:rsidRPr="004D4A74">
        <w:t>To directly analyze the interfacial chemistry and confirm the SEI composition, we performed XPS analyses of Li electrodes retrieved from cells assembled with (i) a GF separator and liquid electrolyte (1 M LiTFSI in PC) and (ii) the GHF@ZIF-8@HKUST-1 QSSE after cycling at 100 °C (</w:t>
      </w:r>
      <w:r w:rsidR="00277ACF" w:rsidRPr="006A3CB1">
        <w:t>Fig. S</w:t>
      </w:r>
      <w:r w:rsidRPr="006A3CB1">
        <w:t>2</w:t>
      </w:r>
      <w:r w:rsidR="00C92827" w:rsidRPr="006A3CB1">
        <w:t>2</w:t>
      </w:r>
      <w:r w:rsidRPr="004D4A74">
        <w:t>). The spectra of pristine Li showed essentially flat baselines without any detectable F 1s, N 1s, S 2p, or carbonate-related C 1s peaks, confirming that the Li surface was clean and free of SEI prior to cycling.</w:t>
      </w:r>
      <w:r w:rsidRPr="004D4A74">
        <w:rPr>
          <w:lang w:val="vi-VN"/>
        </w:rPr>
        <w:t xml:space="preserve"> After cycling, </w:t>
      </w:r>
      <w:r w:rsidRPr="004D4A74">
        <w:t>the GF+LE cell showed a surface dominated by organic decomposition products, with strong C 1s peaks at 284–288 eV (C–H, C–O, C=O) and weak inorganic peaks, indicating that inorganic phases were only a minor fraction (~28.5%). In contrast, the electrode cycled with the GHF@ZIF-8@HKUST-1 QSSE displayed a markedly different profile, characterized by a strong F 1s peak at ~685 eV (LiF), a distinct C 1s contribution near 290 eV (Li</w:t>
      </w:r>
      <w:r w:rsidR="00C92827" w:rsidRPr="004D4A74">
        <w:rPr>
          <w:vertAlign w:val="subscript"/>
        </w:rPr>
        <w:t>2</w:t>
      </w:r>
      <w:r w:rsidRPr="004D4A74">
        <w:t>CO</w:t>
      </w:r>
      <w:r w:rsidR="00C92827" w:rsidRPr="004D4A74">
        <w:rPr>
          <w:vertAlign w:val="subscript"/>
        </w:rPr>
        <w:t>3</w:t>
      </w:r>
      <w:r w:rsidRPr="004D4A74">
        <w:t>), and additional inorganic components including Li₃N (N 1s at ~398 eV) and Li₂SO₃ (S 2p at ~168 eV), together accounting for ~78.9% of the SEI. These results clearly demonstrate that the SEI only forms after electrochemical cycling and that the MOF-based QSSE promotes the preferential formation of an inorganic-rich interphase. The confined pores suppress solvent activity and enforce partial Li⁺ desolvation, thereby limiting solvent-driven reduction pathways that generate organic species.</w:t>
      </w:r>
      <w:r w:rsidRPr="004D4A74">
        <w:rPr>
          <w:lang w:val="vi-VN"/>
        </w:rPr>
        <w:t xml:space="preserve"> </w:t>
      </w:r>
      <w:r w:rsidRPr="004D4A74">
        <w:t>Consequently, the interphase formed in the QSSE system is thinner, more inorganic-dominated, and mechanically robust, which directly explains the superior cycling stability of both Li//Li symmetric and Li//LFP cells at elevated temperature.</w:t>
      </w:r>
    </w:p>
    <w:p w14:paraId="57A8D7A3" w14:textId="77777777" w:rsidR="00547197" w:rsidRDefault="000554B3" w:rsidP="00277ACF">
      <w:pPr>
        <w:pStyle w:val="NormalWeb"/>
        <w:spacing w:before="120" w:beforeAutospacing="0" w:after="120" w:afterAutospacing="0"/>
        <w:jc w:val="center"/>
      </w:pPr>
      <w:r w:rsidRPr="004D4A74">
        <w:rPr>
          <w:noProof/>
          <w:lang w:val="en-IN" w:eastAsia="en-IN"/>
        </w:rPr>
        <w:drawing>
          <wp:inline distT="0" distB="0" distL="0" distR="0" wp14:anchorId="44FC2DF9" wp14:editId="0FF1DA43">
            <wp:extent cx="4205776" cy="6152083"/>
            <wp:effectExtent l="0" t="0" r="0" b="1270"/>
            <wp:docPr id="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r="9874"/>
                    <a:stretch/>
                  </pic:blipFill>
                  <pic:spPr bwMode="auto">
                    <a:xfrm>
                      <a:off x="0" y="0"/>
                      <a:ext cx="4216397" cy="6167620"/>
                    </a:xfrm>
                    <a:prstGeom prst="rect">
                      <a:avLst/>
                    </a:prstGeom>
                    <a:noFill/>
                    <a:ln>
                      <a:noFill/>
                    </a:ln>
                    <a:extLst>
                      <a:ext uri="{53640926-AAD7-44D8-BBD7-CCE9431645EC}">
                        <a14:shadowObscured xmlns:a14="http://schemas.microsoft.com/office/drawing/2010/main"/>
                      </a:ext>
                    </a:extLst>
                  </pic:spPr>
                </pic:pic>
              </a:graphicData>
            </a:graphic>
          </wp:inline>
        </w:drawing>
      </w:r>
    </w:p>
    <w:p w14:paraId="2A38CD46" w14:textId="3BB91C72" w:rsidR="00547197" w:rsidRDefault="00692DA1" w:rsidP="00277ACF">
      <w:pPr>
        <w:spacing w:before="120" w:after="120"/>
        <w:rPr>
          <w:b/>
          <w:bCs/>
        </w:rPr>
      </w:pPr>
      <w:r>
        <w:rPr>
          <w:b/>
          <w:bCs/>
          <w:color w:val="000000" w:themeColor="text1"/>
        </w:rPr>
        <w:t>Fig. S</w:t>
      </w:r>
      <w:r w:rsidR="000554B3" w:rsidRPr="004D4A74">
        <w:rPr>
          <w:b/>
          <w:bCs/>
          <w:color w:val="000000" w:themeColor="text1"/>
        </w:rPr>
        <w:t>22</w:t>
      </w:r>
      <w:r w:rsidR="000554B3" w:rsidRPr="004D4A74">
        <w:rPr>
          <w:b/>
          <w:bCs/>
          <w:color w:val="000000" w:themeColor="text1"/>
          <w:lang w:val="vi-VN"/>
        </w:rPr>
        <w:t xml:space="preserve"> </w:t>
      </w:r>
      <w:r w:rsidR="000554B3" w:rsidRPr="004D4A74">
        <w:rPr>
          <w:color w:val="000000" w:themeColor="text1"/>
          <w:lang w:val="vi-VN"/>
        </w:rPr>
        <w:t xml:space="preserve">XPS spectra of different elements on pristine Li metal surface and Li electrodes detached from Li//LFP cells with GF+LE and GHF@ZIF-8@HKUST-1 QSSE after cycling at 100 </w:t>
      </w:r>
      <w:r w:rsidR="000554B3" w:rsidRPr="004D4A74">
        <w:rPr>
          <w:color w:val="000000" w:themeColor="text1"/>
          <w:vertAlign w:val="superscript"/>
          <w:lang w:val="vi-VN"/>
        </w:rPr>
        <w:t>o</w:t>
      </w:r>
      <w:r w:rsidR="000554B3" w:rsidRPr="004D4A74">
        <w:rPr>
          <w:color w:val="000000" w:themeColor="text1"/>
          <w:lang w:val="vi-VN"/>
        </w:rPr>
        <w:t>C</w:t>
      </w:r>
    </w:p>
    <w:p w14:paraId="6FB8F7E7" w14:textId="1600B827" w:rsidR="00547197" w:rsidRDefault="00277ACF" w:rsidP="00692DA1">
      <w:pPr>
        <w:spacing w:before="240" w:after="240"/>
        <w:jc w:val="both"/>
        <w:rPr>
          <w:b/>
          <w:bCs/>
        </w:rPr>
      </w:pPr>
      <w:bookmarkStart w:id="15" w:name="_Hlk211036705"/>
      <w:bookmarkStart w:id="16" w:name="_Hlk206851560"/>
      <w:r w:rsidRPr="00277ACF">
        <w:rPr>
          <w:b/>
          <w:bCs/>
        </w:rPr>
        <w:t>Note S</w:t>
      </w:r>
      <w:r w:rsidR="000554B3" w:rsidRPr="004D4A74">
        <w:rPr>
          <w:b/>
          <w:bCs/>
        </w:rPr>
        <w:t>1</w:t>
      </w:r>
      <w:r w:rsidR="00CB6F76" w:rsidRPr="004D4A74">
        <w:rPr>
          <w:b/>
          <w:bCs/>
        </w:rPr>
        <w:t>7</w:t>
      </w:r>
      <w:r w:rsidR="00C624AD" w:rsidRPr="004D4A74">
        <w:rPr>
          <w:b/>
          <w:bCs/>
          <w:lang w:val="vi-VN"/>
        </w:rPr>
        <w:t xml:space="preserve"> The cycling failure mechanism of Li//LFP cells using MOF-based QSSEs</w:t>
      </w:r>
      <w:bookmarkEnd w:id="15"/>
    </w:p>
    <w:bookmarkEnd w:id="16"/>
    <w:p w14:paraId="16851CC3" w14:textId="77777777" w:rsidR="00547197" w:rsidRDefault="00E64A48" w:rsidP="00277ACF">
      <w:pPr>
        <w:pStyle w:val="NormalWeb"/>
        <w:spacing w:before="120" w:beforeAutospacing="0" w:after="120" w:afterAutospacing="0"/>
        <w:jc w:val="both"/>
      </w:pPr>
      <w:r w:rsidRPr="004D4A74">
        <w:t>To gain deeper insights into the cycling failure mechanisms of Li//LFP cells at elevated temperature (100 °C), we conducted post-mortem characterizations of both the Li electrodes and the GHF@MOF membranes after prolonged cycling.</w:t>
      </w:r>
    </w:p>
    <w:p w14:paraId="0C2B7A59" w14:textId="64BF2417" w:rsidR="00547197" w:rsidRDefault="00E64A48" w:rsidP="00277ACF">
      <w:pPr>
        <w:pStyle w:val="NormalWeb"/>
        <w:spacing w:before="120" w:beforeAutospacing="0" w:after="120" w:afterAutospacing="0"/>
        <w:jc w:val="both"/>
      </w:pPr>
      <w:r w:rsidRPr="004D4A74">
        <w:t>SEM analyses of the cycled Li metal surfaces revealed distinct morphologies depending on the electrolyte used</w:t>
      </w:r>
      <w:r w:rsidRPr="004D4A74">
        <w:rPr>
          <w:lang w:val="vi-VN"/>
        </w:rPr>
        <w:t xml:space="preserve"> (</w:t>
      </w:r>
      <w:r w:rsidR="00277ACF" w:rsidRPr="00692DA1">
        <w:rPr>
          <w:lang w:val="vi-VN"/>
        </w:rPr>
        <w:t>Fig. S</w:t>
      </w:r>
      <w:r w:rsidR="00654DD4" w:rsidRPr="00692DA1">
        <w:rPr>
          <w:lang w:val="vi-VN"/>
        </w:rPr>
        <w:t>2</w:t>
      </w:r>
      <w:r w:rsidR="00CB6F76" w:rsidRPr="00692DA1">
        <w:rPr>
          <w:lang w:val="vi-VN"/>
        </w:rPr>
        <w:t>3</w:t>
      </w:r>
      <w:r w:rsidRPr="004D4A74">
        <w:rPr>
          <w:lang w:val="vi-VN"/>
        </w:rPr>
        <w:t>)</w:t>
      </w:r>
      <w:r w:rsidRPr="004D4A74">
        <w:t>. In the case of GHF@HKUST-1, the Li surface was covered with dense and disordered dendritic deposits</w:t>
      </w:r>
      <w:r w:rsidRPr="004D4A74">
        <w:rPr>
          <w:lang w:val="vi-VN"/>
        </w:rPr>
        <w:t xml:space="preserve"> (</w:t>
      </w:r>
      <w:r w:rsidR="00B0144A" w:rsidRPr="004D4A74">
        <w:rPr>
          <w:lang w:val="vi-VN"/>
        </w:rPr>
        <w:t xml:space="preserve">Figs. </w:t>
      </w:r>
      <w:r w:rsidR="00692DA1">
        <w:rPr>
          <w:lang w:val="vi-VN"/>
        </w:rPr>
        <w:t>S</w:t>
      </w:r>
      <w:r w:rsidR="00654DD4" w:rsidRPr="004D4A74">
        <w:rPr>
          <w:lang w:val="vi-VN"/>
        </w:rPr>
        <w:t>2</w:t>
      </w:r>
      <w:r w:rsidR="00CB6F76" w:rsidRPr="004D4A74">
        <w:rPr>
          <w:lang w:val="vi-VN"/>
        </w:rPr>
        <w:t>3</w:t>
      </w:r>
      <w:r w:rsidR="00B0144A" w:rsidRPr="004D4A74">
        <w:rPr>
          <w:lang w:val="vi-VN"/>
        </w:rPr>
        <w:t>a,</w:t>
      </w:r>
      <w:r w:rsidR="00692DA1">
        <w:rPr>
          <w:lang w:val="vi-VN"/>
        </w:rPr>
        <w:t xml:space="preserve"> </w:t>
      </w:r>
      <w:r w:rsidR="00B0144A" w:rsidRPr="004D4A74">
        <w:rPr>
          <w:lang w:val="vi-VN"/>
        </w:rPr>
        <w:t>d</w:t>
      </w:r>
      <w:r w:rsidRPr="004D4A74">
        <w:rPr>
          <w:lang w:val="vi-VN"/>
        </w:rPr>
        <w:t>)</w:t>
      </w:r>
      <w:r w:rsidRPr="004D4A74">
        <w:t>, consistent with short-circuit failure during cycling. This is attributed to the migration of solvated Li⁺ ions through the large pores of HKUST-1, where uneven desolvation at the electrode interface generated localized current hot spots and promoted dendrite growth. In contrast, cells employing GHF@ZIF-8 displayed smoother Li surfaces with limited dendrite formation</w:t>
      </w:r>
      <w:r w:rsidRPr="004D4A74">
        <w:rPr>
          <w:lang w:val="vi-VN"/>
        </w:rPr>
        <w:t xml:space="preserve"> (</w:t>
      </w:r>
      <w:r w:rsidR="00B0144A" w:rsidRPr="004D4A74">
        <w:rPr>
          <w:lang w:val="vi-VN"/>
        </w:rPr>
        <w:t xml:space="preserve">Figs. </w:t>
      </w:r>
      <w:r w:rsidR="00692DA1">
        <w:rPr>
          <w:lang w:val="vi-VN"/>
        </w:rPr>
        <w:t>S</w:t>
      </w:r>
      <w:r w:rsidR="00654DD4" w:rsidRPr="004D4A74">
        <w:rPr>
          <w:lang w:val="vi-VN"/>
        </w:rPr>
        <w:t>2</w:t>
      </w:r>
      <w:r w:rsidR="00CB6F76" w:rsidRPr="004D4A74">
        <w:rPr>
          <w:lang w:val="vi-VN"/>
        </w:rPr>
        <w:t>3</w:t>
      </w:r>
      <w:r w:rsidR="00B0144A" w:rsidRPr="004D4A74">
        <w:rPr>
          <w:lang w:val="vi-VN"/>
        </w:rPr>
        <w:t>b,</w:t>
      </w:r>
      <w:r w:rsidR="00692DA1">
        <w:rPr>
          <w:lang w:val="vi-VN"/>
        </w:rPr>
        <w:t xml:space="preserve"> </w:t>
      </w:r>
      <w:r w:rsidR="00B0144A" w:rsidRPr="004D4A74">
        <w:rPr>
          <w:lang w:val="vi-VN"/>
        </w:rPr>
        <w:t>e</w:t>
      </w:r>
      <w:r w:rsidRPr="004D4A74">
        <w:rPr>
          <w:lang w:val="vi-VN"/>
        </w:rPr>
        <w:t>)</w:t>
      </w:r>
      <w:r w:rsidRPr="004D4A74">
        <w:t>, reflecting the beneficial effect of partial Li⁺ desolvation in the narrow ZIF-8 pores. However, the strong confinement of PC solvent in ZIF-8 reduced interfacial wettability and eventually caused electrolyte depletion, leading to increased polarization and rapid capacity fading.</w:t>
      </w:r>
    </w:p>
    <w:p w14:paraId="008A6A96" w14:textId="20D0ECC5" w:rsidR="00547197" w:rsidRDefault="00E64A48" w:rsidP="00277ACF">
      <w:pPr>
        <w:pStyle w:val="NormalWeb"/>
        <w:spacing w:before="120" w:beforeAutospacing="0" w:after="120" w:afterAutospacing="0"/>
        <w:jc w:val="both"/>
      </w:pPr>
      <w:r w:rsidRPr="004D4A74">
        <w:t>For the GHF@ZIF-8@HKUST-1 electrolyte, the Li surface remained smooth and uniform even after extended cycling at 100 °C</w:t>
      </w:r>
      <w:r w:rsidR="00692DA1">
        <w:rPr>
          <w:lang w:val="vi-VN"/>
        </w:rPr>
        <w:t xml:space="preserve"> (</w:t>
      </w:r>
      <w:r w:rsidR="00B0144A" w:rsidRPr="004D4A74">
        <w:rPr>
          <w:lang w:val="vi-VN"/>
        </w:rPr>
        <w:t xml:space="preserve">Figs. </w:t>
      </w:r>
      <w:r w:rsidR="00692DA1">
        <w:rPr>
          <w:lang w:val="vi-VN"/>
        </w:rPr>
        <w:t>S</w:t>
      </w:r>
      <w:r w:rsidR="00654DD4" w:rsidRPr="004D4A74">
        <w:rPr>
          <w:lang w:val="vi-VN"/>
        </w:rPr>
        <w:t>2</w:t>
      </w:r>
      <w:r w:rsidR="00CB6F76" w:rsidRPr="004D4A74">
        <w:rPr>
          <w:lang w:val="vi-VN"/>
        </w:rPr>
        <w:t>3</w:t>
      </w:r>
      <w:r w:rsidR="00B0144A" w:rsidRPr="004D4A74">
        <w:rPr>
          <w:lang w:val="vi-VN"/>
        </w:rPr>
        <w:t>c,</w:t>
      </w:r>
      <w:r w:rsidR="00692DA1">
        <w:rPr>
          <w:lang w:val="vi-VN"/>
        </w:rPr>
        <w:t xml:space="preserve"> </w:t>
      </w:r>
      <w:r w:rsidR="00B0144A" w:rsidRPr="004D4A74">
        <w:rPr>
          <w:lang w:val="vi-VN"/>
        </w:rPr>
        <w:t>f</w:t>
      </w:r>
      <w:r w:rsidRPr="004D4A74">
        <w:rPr>
          <w:lang w:val="vi-VN"/>
        </w:rPr>
        <w:t>)</w:t>
      </w:r>
      <w:r w:rsidRPr="004D4A74">
        <w:t>. This superior morphology originates from the synergistic dual-channel transport mechanism: the inner ZIF-8 channels induce partial desolvation and promote uniform Li deposition, while the outer HKUST-1 shell ensures sufficient solvent supply and good electrode wetting. As a result, the core–shell QSSE effectively suppresses dendrite growth and electrolyte depletion, enabling long-term cycling stability.</w:t>
      </w:r>
    </w:p>
    <w:p w14:paraId="6473B94C" w14:textId="4215364F" w:rsidR="00547197" w:rsidRDefault="00E64A48" w:rsidP="00277ACF">
      <w:pPr>
        <w:pStyle w:val="NormalWeb"/>
        <w:spacing w:before="120" w:beforeAutospacing="0" w:after="120" w:afterAutospacing="0"/>
        <w:jc w:val="both"/>
      </w:pPr>
      <w:r w:rsidRPr="004D4A74">
        <w:t>In addition, stability analysis of the membranes confirmed that all MOF-based QSSEs retained their structural integrity after cycling, with no observable degradation or collapse of the frameworks</w:t>
      </w:r>
      <w:r w:rsidRPr="004D4A74">
        <w:rPr>
          <w:lang w:val="vi-VN"/>
        </w:rPr>
        <w:t xml:space="preserve"> (</w:t>
      </w:r>
      <w:r w:rsidR="00277ACF" w:rsidRPr="00692DA1">
        <w:rPr>
          <w:lang w:val="vi-VN"/>
        </w:rPr>
        <w:t>Fig. S</w:t>
      </w:r>
      <w:r w:rsidR="00654DD4" w:rsidRPr="00692DA1">
        <w:rPr>
          <w:lang w:val="vi-VN"/>
        </w:rPr>
        <w:t>2</w:t>
      </w:r>
      <w:r w:rsidR="00CB6F76" w:rsidRPr="00692DA1">
        <w:rPr>
          <w:lang w:val="vi-VN"/>
        </w:rPr>
        <w:t>4</w:t>
      </w:r>
      <w:r w:rsidRPr="004D4A74">
        <w:rPr>
          <w:lang w:val="vi-VN"/>
        </w:rPr>
        <w:t>)</w:t>
      </w:r>
      <w:r w:rsidRPr="004D4A74">
        <w:t>. This indicates that the performance differences among the three systems primarily arise from interfacial ion transport behaviors rather than membrane instability.</w:t>
      </w:r>
    </w:p>
    <w:p w14:paraId="64093950" w14:textId="77777777" w:rsidR="00547197" w:rsidRDefault="00E64A48" w:rsidP="00692DA1">
      <w:pPr>
        <w:spacing w:before="120" w:after="120"/>
        <w:jc w:val="center"/>
        <w:rPr>
          <w:rFonts w:eastAsia="Times New Roman"/>
        </w:rPr>
      </w:pPr>
      <w:bookmarkStart w:id="17" w:name="_Hlk206945166"/>
      <w:r w:rsidRPr="004D4A74">
        <w:rPr>
          <w:rFonts w:eastAsia="Times New Roman"/>
          <w:noProof/>
          <w:lang w:val="en-IN" w:eastAsia="en-IN"/>
        </w:rPr>
        <w:drawing>
          <wp:inline distT="0" distB="0" distL="0" distR="0" wp14:anchorId="78DEC946" wp14:editId="6CB9602B">
            <wp:extent cx="5422812" cy="2706624"/>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35386" cy="2712900"/>
                    </a:xfrm>
                    <a:prstGeom prst="rect">
                      <a:avLst/>
                    </a:prstGeom>
                    <a:noFill/>
                    <a:ln>
                      <a:noFill/>
                    </a:ln>
                  </pic:spPr>
                </pic:pic>
              </a:graphicData>
            </a:graphic>
          </wp:inline>
        </w:drawing>
      </w:r>
    </w:p>
    <w:p w14:paraId="711A088F" w14:textId="4C55D6FC" w:rsidR="00547197" w:rsidRDefault="00692DA1" w:rsidP="00277ACF">
      <w:pPr>
        <w:spacing w:before="120" w:after="120"/>
        <w:rPr>
          <w:rFonts w:eastAsiaTheme="minorEastAsia"/>
          <w:kern w:val="2"/>
          <w:shd w:val="clear" w:color="auto" w:fill="FFFFFF"/>
        </w:rPr>
      </w:pPr>
      <w:r>
        <w:rPr>
          <w:b/>
          <w:bCs/>
          <w:lang w:val="vi-VN"/>
        </w:rPr>
        <w:t>Fig. S</w:t>
      </w:r>
      <w:r w:rsidR="00654DD4" w:rsidRPr="004D4A74">
        <w:rPr>
          <w:b/>
          <w:bCs/>
          <w:lang w:val="vi-VN"/>
        </w:rPr>
        <w:t>2</w:t>
      </w:r>
      <w:r w:rsidR="00CB6F76" w:rsidRPr="004D4A74">
        <w:rPr>
          <w:b/>
          <w:bCs/>
          <w:lang w:val="vi-VN"/>
        </w:rPr>
        <w:t>3</w:t>
      </w:r>
      <w:r w:rsidR="00E64A48" w:rsidRPr="004D4A74">
        <w:rPr>
          <w:lang w:val="vi-VN"/>
        </w:rPr>
        <w:t xml:space="preserve"> </w:t>
      </w:r>
      <w:r w:rsidR="00E64A48" w:rsidRPr="004D4A74">
        <w:rPr>
          <w:b/>
          <w:bCs/>
          <w:lang w:val="vi-VN"/>
        </w:rPr>
        <w:t>a-f,</w:t>
      </w:r>
      <w:r w:rsidR="00E64A48" w:rsidRPr="004D4A74">
        <w:rPr>
          <w:lang w:val="vi-VN"/>
        </w:rPr>
        <w:t xml:space="preserve"> </w:t>
      </w:r>
      <w:r w:rsidR="00E64A48" w:rsidRPr="004D4A74">
        <w:rPr>
          <w:bCs/>
          <w:shd w:val="clear" w:color="auto" w:fill="FFFFFF"/>
          <w:lang w:val="vi-VN"/>
        </w:rPr>
        <w:t xml:space="preserve">SEM images of Li metal surfaces detached from the Li//LFP </w:t>
      </w:r>
      <w:r w:rsidR="00E64A48" w:rsidRPr="004D4A74">
        <w:rPr>
          <w:bCs/>
          <w:shd w:val="clear" w:color="auto" w:fill="FFFFFF"/>
        </w:rPr>
        <w:t>cell</w:t>
      </w:r>
      <w:r w:rsidR="00E64A48" w:rsidRPr="004D4A74">
        <w:rPr>
          <w:bCs/>
          <w:shd w:val="clear" w:color="auto" w:fill="FFFFFF"/>
          <w:lang w:val="vi-VN"/>
        </w:rPr>
        <w:t xml:space="preserve"> using </w:t>
      </w:r>
      <w:r w:rsidR="00E64A48" w:rsidRPr="004D4A74">
        <w:rPr>
          <w:shd w:val="clear" w:color="auto" w:fill="FFFFFF"/>
        </w:rPr>
        <w:t>GHF</w:t>
      </w:r>
      <w:r w:rsidR="00E64A48" w:rsidRPr="004D4A74">
        <w:rPr>
          <w:shd w:val="clear" w:color="auto" w:fill="FFFFFF"/>
          <w:lang w:val="vi-VN"/>
        </w:rPr>
        <w:t>@ZIF-8 (</w:t>
      </w:r>
      <w:r w:rsidR="00E64A48" w:rsidRPr="004D4A74">
        <w:rPr>
          <w:b/>
          <w:bCs/>
          <w:shd w:val="clear" w:color="auto" w:fill="FFFFFF"/>
          <w:lang w:val="vi-VN"/>
        </w:rPr>
        <w:t>a, d</w:t>
      </w:r>
      <w:r w:rsidR="00E64A48" w:rsidRPr="004D4A74">
        <w:rPr>
          <w:shd w:val="clear" w:color="auto" w:fill="FFFFFF"/>
          <w:lang w:val="vi-VN"/>
        </w:rPr>
        <w:t>), GHF@HKUST-1 (</w:t>
      </w:r>
      <w:r w:rsidR="00E64A48" w:rsidRPr="004D4A74">
        <w:rPr>
          <w:b/>
          <w:bCs/>
          <w:shd w:val="clear" w:color="auto" w:fill="FFFFFF"/>
          <w:lang w:val="vi-VN"/>
        </w:rPr>
        <w:t>b, e</w:t>
      </w:r>
      <w:r w:rsidR="00E64A48" w:rsidRPr="004D4A74">
        <w:rPr>
          <w:shd w:val="clear" w:color="auto" w:fill="FFFFFF"/>
          <w:lang w:val="vi-VN"/>
        </w:rPr>
        <w:t>) and GHF@ZIF-8@HKUST-1 (</w:t>
      </w:r>
      <w:r w:rsidR="00E64A48" w:rsidRPr="004D4A74">
        <w:rPr>
          <w:b/>
          <w:bCs/>
          <w:shd w:val="clear" w:color="auto" w:fill="FFFFFF"/>
          <w:lang w:val="vi-VN"/>
        </w:rPr>
        <w:t>c, f</w:t>
      </w:r>
      <w:r>
        <w:rPr>
          <w:shd w:val="clear" w:color="auto" w:fill="FFFFFF"/>
          <w:lang w:val="vi-VN"/>
        </w:rPr>
        <w:t>)</w:t>
      </w:r>
    </w:p>
    <w:p w14:paraId="0D55898B" w14:textId="77777777" w:rsidR="00547197" w:rsidRDefault="00C63109" w:rsidP="00692DA1">
      <w:pPr>
        <w:pStyle w:val="NormalWeb"/>
        <w:spacing w:before="120" w:beforeAutospacing="0" w:after="120" w:afterAutospacing="0"/>
        <w:jc w:val="center"/>
      </w:pPr>
      <w:r w:rsidRPr="004D4A74">
        <w:rPr>
          <w:noProof/>
          <w:lang w:val="en-IN" w:eastAsia="en-IN"/>
        </w:rPr>
        <w:drawing>
          <wp:inline distT="0" distB="0" distL="0" distR="0" wp14:anchorId="34958B27" wp14:editId="43DBD06F">
            <wp:extent cx="5413908" cy="252374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36952" cy="2534486"/>
                    </a:xfrm>
                    <a:prstGeom prst="rect">
                      <a:avLst/>
                    </a:prstGeom>
                    <a:noFill/>
                    <a:ln>
                      <a:noFill/>
                    </a:ln>
                  </pic:spPr>
                </pic:pic>
              </a:graphicData>
            </a:graphic>
          </wp:inline>
        </w:drawing>
      </w:r>
    </w:p>
    <w:p w14:paraId="464A5788" w14:textId="3F9ED789" w:rsidR="00547197" w:rsidRDefault="00692DA1" w:rsidP="00277ACF">
      <w:pPr>
        <w:spacing w:before="120" w:after="120"/>
        <w:rPr>
          <w:rFonts w:eastAsia="Times New Roman"/>
        </w:rPr>
      </w:pPr>
      <w:r>
        <w:rPr>
          <w:b/>
          <w:bCs/>
          <w:lang w:val="vi-VN"/>
        </w:rPr>
        <w:t>Fig. S</w:t>
      </w:r>
      <w:r w:rsidR="00654DD4" w:rsidRPr="004D4A74">
        <w:rPr>
          <w:b/>
          <w:bCs/>
          <w:lang w:val="vi-VN"/>
        </w:rPr>
        <w:t>2</w:t>
      </w:r>
      <w:r w:rsidR="00CB6F76" w:rsidRPr="004D4A74">
        <w:rPr>
          <w:b/>
          <w:bCs/>
          <w:lang w:val="vi-VN"/>
        </w:rPr>
        <w:t>4</w:t>
      </w:r>
      <w:r w:rsidR="00E64A48" w:rsidRPr="004D4A74">
        <w:rPr>
          <w:lang w:val="vi-VN"/>
        </w:rPr>
        <w:t xml:space="preserve"> </w:t>
      </w:r>
      <w:r w:rsidR="00E64A48" w:rsidRPr="004D4A74">
        <w:rPr>
          <w:b/>
          <w:bCs/>
          <w:lang w:val="vi-VN"/>
        </w:rPr>
        <w:t>a-f,</w:t>
      </w:r>
      <w:r w:rsidR="00E64A48" w:rsidRPr="004D4A74">
        <w:rPr>
          <w:lang w:val="vi-VN"/>
        </w:rPr>
        <w:t xml:space="preserve"> Cross-sectional SEM images of pristine separators: </w:t>
      </w:r>
      <w:r w:rsidR="00E64A48" w:rsidRPr="004D4A74">
        <w:rPr>
          <w:shd w:val="clear" w:color="auto" w:fill="FFFFFF"/>
        </w:rPr>
        <w:t>GHF</w:t>
      </w:r>
      <w:r w:rsidR="00E64A48" w:rsidRPr="004D4A74">
        <w:rPr>
          <w:shd w:val="clear" w:color="auto" w:fill="FFFFFF"/>
          <w:lang w:val="vi-VN"/>
        </w:rPr>
        <w:t>@ZIF-8 (</w:t>
      </w:r>
      <w:r w:rsidR="00E64A48" w:rsidRPr="004D4A74">
        <w:rPr>
          <w:b/>
          <w:bCs/>
          <w:shd w:val="clear" w:color="auto" w:fill="FFFFFF"/>
          <w:lang w:val="vi-VN"/>
        </w:rPr>
        <w:t>a</w:t>
      </w:r>
      <w:r w:rsidR="00E64A48" w:rsidRPr="004D4A74">
        <w:rPr>
          <w:shd w:val="clear" w:color="auto" w:fill="FFFFFF"/>
          <w:lang w:val="vi-VN"/>
        </w:rPr>
        <w:t>), GHF@HKUST-1 (</w:t>
      </w:r>
      <w:r w:rsidR="00E64A48" w:rsidRPr="004D4A74">
        <w:rPr>
          <w:b/>
          <w:bCs/>
          <w:shd w:val="clear" w:color="auto" w:fill="FFFFFF"/>
          <w:lang w:val="vi-VN"/>
        </w:rPr>
        <w:t>b</w:t>
      </w:r>
      <w:r w:rsidR="00E64A48" w:rsidRPr="004D4A74">
        <w:rPr>
          <w:shd w:val="clear" w:color="auto" w:fill="FFFFFF"/>
          <w:lang w:val="vi-VN"/>
        </w:rPr>
        <w:t>) and GHF@ZIF-8@HKUST-1 (</w:t>
      </w:r>
      <w:r w:rsidR="00E64A48" w:rsidRPr="004D4A74">
        <w:rPr>
          <w:b/>
          <w:bCs/>
          <w:shd w:val="clear" w:color="auto" w:fill="FFFFFF"/>
          <w:lang w:val="vi-VN"/>
        </w:rPr>
        <w:t>c</w:t>
      </w:r>
      <w:r w:rsidR="00E64A48" w:rsidRPr="004D4A74">
        <w:rPr>
          <w:shd w:val="clear" w:color="auto" w:fill="FFFFFF"/>
          <w:lang w:val="vi-VN"/>
        </w:rPr>
        <w:t xml:space="preserve">); and the post-cycled separators: </w:t>
      </w:r>
      <w:r w:rsidR="00E64A48" w:rsidRPr="004D4A74">
        <w:rPr>
          <w:shd w:val="clear" w:color="auto" w:fill="FFFFFF"/>
        </w:rPr>
        <w:t>GHF</w:t>
      </w:r>
      <w:r w:rsidR="00E64A48" w:rsidRPr="004D4A74">
        <w:rPr>
          <w:shd w:val="clear" w:color="auto" w:fill="FFFFFF"/>
          <w:lang w:val="vi-VN"/>
        </w:rPr>
        <w:t>@ZIF-8 (</w:t>
      </w:r>
      <w:r w:rsidR="00E64A48" w:rsidRPr="004D4A74">
        <w:rPr>
          <w:b/>
          <w:bCs/>
          <w:shd w:val="clear" w:color="auto" w:fill="FFFFFF"/>
          <w:lang w:val="vi-VN"/>
        </w:rPr>
        <w:t>d</w:t>
      </w:r>
      <w:r w:rsidR="00E64A48" w:rsidRPr="004D4A74">
        <w:rPr>
          <w:shd w:val="clear" w:color="auto" w:fill="FFFFFF"/>
          <w:lang w:val="vi-VN"/>
        </w:rPr>
        <w:t>), GHF@HKUST-1 (</w:t>
      </w:r>
      <w:r w:rsidR="00E64A48" w:rsidRPr="004D4A74">
        <w:rPr>
          <w:b/>
          <w:bCs/>
          <w:shd w:val="clear" w:color="auto" w:fill="FFFFFF"/>
          <w:lang w:val="vi-VN"/>
        </w:rPr>
        <w:t>e</w:t>
      </w:r>
      <w:r w:rsidR="00E64A48" w:rsidRPr="004D4A74">
        <w:rPr>
          <w:shd w:val="clear" w:color="auto" w:fill="FFFFFF"/>
          <w:lang w:val="vi-VN"/>
        </w:rPr>
        <w:t>) and GHF@ZIF-8@HKUST-1 (</w:t>
      </w:r>
      <w:r w:rsidR="00E64A48" w:rsidRPr="004D4A74">
        <w:rPr>
          <w:b/>
          <w:bCs/>
          <w:shd w:val="clear" w:color="auto" w:fill="FFFFFF"/>
          <w:lang w:val="vi-VN"/>
        </w:rPr>
        <w:t>f</w:t>
      </w:r>
      <w:r w:rsidR="00E64A48" w:rsidRPr="004D4A74">
        <w:rPr>
          <w:shd w:val="clear" w:color="auto" w:fill="FFFFFF"/>
          <w:lang w:val="vi-VN"/>
        </w:rPr>
        <w:t>)</w:t>
      </w:r>
    </w:p>
    <w:p w14:paraId="6328C5E0" w14:textId="7FE2889A" w:rsidR="00547197" w:rsidRDefault="00277ACF" w:rsidP="00277ACF">
      <w:pPr>
        <w:spacing w:before="120" w:after="120"/>
        <w:jc w:val="both"/>
        <w:rPr>
          <w:b/>
          <w:bCs/>
          <w:lang w:val="vi-VN"/>
        </w:rPr>
      </w:pPr>
      <w:bookmarkStart w:id="18" w:name="_Hlk211036724"/>
      <w:bookmarkEnd w:id="17"/>
      <w:r w:rsidRPr="00277ACF">
        <w:rPr>
          <w:b/>
          <w:bCs/>
        </w:rPr>
        <w:t>Note S</w:t>
      </w:r>
      <w:r w:rsidR="00CB6F76" w:rsidRPr="004D4A74">
        <w:rPr>
          <w:b/>
          <w:bCs/>
        </w:rPr>
        <w:t>18 The</w:t>
      </w:r>
      <w:r w:rsidR="00CB6F76" w:rsidRPr="004D4A74">
        <w:rPr>
          <w:b/>
          <w:bCs/>
          <w:lang w:val="vi-VN"/>
        </w:rPr>
        <w:t xml:space="preserve"> rate capability of Li//LFP cells using core-shell MOF-based QSSE</w:t>
      </w:r>
      <w:bookmarkEnd w:id="18"/>
    </w:p>
    <w:p w14:paraId="5097C103" w14:textId="1A42EB8A" w:rsidR="00547197" w:rsidRDefault="00CB6F76" w:rsidP="00277ACF">
      <w:pPr>
        <w:spacing w:before="120" w:after="120"/>
        <w:jc w:val="both"/>
      </w:pPr>
      <w:r w:rsidRPr="004D4A74">
        <w:t>In addition, the rate capability of Li//LFP cells employing the GHF@ZIF-8@HKUST-1 QSSE was systematically evaluated at 100 °C under different current densities (0.1 C, 0.3 C, 0.5 C, 1 C, and 2 C) (</w:t>
      </w:r>
      <w:r w:rsidR="00277ACF" w:rsidRPr="00692DA1">
        <w:t>Fig. S</w:t>
      </w:r>
      <w:r w:rsidRPr="00692DA1">
        <w:t>25</w:t>
      </w:r>
      <w:r w:rsidRPr="004D4A74">
        <w:t>). The cell delivered an initial discharge capacity of ~165 mAh g⁻¹ at 0.1 C, gradually decreasing to ~160 mAh g⁻¹ at 0.3 C, ~155 mAh g⁻¹ at 0.5 C, ~150 mAh g⁻¹ at 1 C, and ~130 mAh g⁻¹ at 2 C. When the current density was returned to 0.1 C, the capacity nearly recovered to its initial value, demonstrating the reversibility and structural stability of the MOF-based electrolyte even under harsh high-temperature and high-rate conditions. Coulombic efficiency remained close to 97–100% throughout the tests, further confirming stable Li⁺ transport without parasitic side reactions.</w:t>
      </w:r>
    </w:p>
    <w:p w14:paraId="3721AA72" w14:textId="77777777" w:rsidR="00547197" w:rsidRDefault="00CB6F76" w:rsidP="00277ACF">
      <w:pPr>
        <w:spacing w:before="120" w:after="120"/>
        <w:jc w:val="center"/>
      </w:pPr>
      <w:r w:rsidRPr="004D4A74">
        <w:rPr>
          <w:noProof/>
          <w:lang w:val="en-IN" w:eastAsia="en-IN"/>
        </w:rPr>
        <w:drawing>
          <wp:inline distT="0" distB="0" distL="0" distR="0" wp14:anchorId="42188716" wp14:editId="4203407E">
            <wp:extent cx="3513455" cy="4933861"/>
            <wp:effectExtent l="0" t="0" r="0" b="0"/>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3157" r="30794" b="19518"/>
                    <a:stretch/>
                  </pic:blipFill>
                  <pic:spPr bwMode="auto">
                    <a:xfrm>
                      <a:off x="0" y="0"/>
                      <a:ext cx="3525634" cy="4950964"/>
                    </a:xfrm>
                    <a:prstGeom prst="rect">
                      <a:avLst/>
                    </a:prstGeom>
                    <a:noFill/>
                    <a:ln>
                      <a:noFill/>
                    </a:ln>
                    <a:extLst>
                      <a:ext uri="{53640926-AAD7-44D8-BBD7-CCE9431645EC}">
                        <a14:shadowObscured xmlns:a14="http://schemas.microsoft.com/office/drawing/2010/main"/>
                      </a:ext>
                    </a:extLst>
                  </pic:spPr>
                </pic:pic>
              </a:graphicData>
            </a:graphic>
          </wp:inline>
        </w:drawing>
      </w:r>
    </w:p>
    <w:p w14:paraId="78CDFD13" w14:textId="01F7B6B7" w:rsidR="00547197" w:rsidRDefault="00692DA1" w:rsidP="00692DA1">
      <w:pPr>
        <w:spacing w:before="120" w:after="120"/>
        <w:jc w:val="both"/>
        <w:rPr>
          <w:b/>
          <w:bCs/>
          <w:lang w:val="vi-VN"/>
        </w:rPr>
      </w:pPr>
      <w:r>
        <w:rPr>
          <w:b/>
          <w:bCs/>
        </w:rPr>
        <w:t>Fig. S</w:t>
      </w:r>
      <w:r w:rsidR="00CB6F76" w:rsidRPr="004D4A74">
        <w:rPr>
          <w:b/>
          <w:bCs/>
          <w:lang w:val="vi-VN"/>
        </w:rPr>
        <w:t>25 a,</w:t>
      </w:r>
      <w:r>
        <w:rPr>
          <w:b/>
          <w:bCs/>
          <w:lang w:val="vi-VN"/>
        </w:rPr>
        <w:t xml:space="preserve"> </w:t>
      </w:r>
      <w:r w:rsidR="00CB6F76" w:rsidRPr="004D4A74">
        <w:rPr>
          <w:b/>
          <w:bCs/>
          <w:lang w:val="vi-VN"/>
        </w:rPr>
        <w:t>b</w:t>
      </w:r>
      <w:r w:rsidR="00CB6F76" w:rsidRPr="004D4A74">
        <w:rPr>
          <w:lang w:val="vi-VN"/>
        </w:rPr>
        <w:t xml:space="preserve">, </w:t>
      </w:r>
      <w:r w:rsidR="00CB6F76" w:rsidRPr="004D4A74">
        <w:t>The cyclic performance of Li/</w:t>
      </w:r>
      <w:r w:rsidR="00CB6F76" w:rsidRPr="004D4A74">
        <w:rPr>
          <w:lang w:val="vi-VN"/>
        </w:rPr>
        <w:t>/GHF@ZIF-8@HKUST-1//</w:t>
      </w:r>
      <w:r w:rsidR="00CB6F76" w:rsidRPr="004D4A74">
        <w:t>LFP at 100</w:t>
      </w:r>
      <w:r w:rsidR="00CB6F76" w:rsidRPr="004D4A74">
        <w:rPr>
          <w:lang w:val="vi-VN"/>
        </w:rPr>
        <w:t xml:space="preserve"> </w:t>
      </w:r>
      <w:r w:rsidR="00CB6F76" w:rsidRPr="004D4A74">
        <w:rPr>
          <w:vertAlign w:val="superscript"/>
          <w:lang w:val="vi-VN"/>
        </w:rPr>
        <w:t>o</w:t>
      </w:r>
      <w:r w:rsidR="00CB6F76" w:rsidRPr="004D4A74">
        <w:rPr>
          <w:lang w:val="vi-VN"/>
        </w:rPr>
        <w:t xml:space="preserve">C </w:t>
      </w:r>
      <w:r w:rsidR="00CB6F76" w:rsidRPr="004D4A74">
        <w:t>with various C rates (0.1, 0.3, 0.5</w:t>
      </w:r>
      <w:r w:rsidR="00CB6F76" w:rsidRPr="004D4A74">
        <w:rPr>
          <w:lang w:val="vi-VN"/>
        </w:rPr>
        <w:t xml:space="preserve">, </w:t>
      </w:r>
      <w:r w:rsidR="00CB6F76" w:rsidRPr="004D4A74">
        <w:t>1, and</w:t>
      </w:r>
      <w:r w:rsidR="00CB6F76" w:rsidRPr="004D4A74">
        <w:rPr>
          <w:lang w:val="vi-VN"/>
        </w:rPr>
        <w:t xml:space="preserve"> 2 C</w:t>
      </w:r>
      <w:r>
        <w:t>)</w:t>
      </w:r>
    </w:p>
    <w:p w14:paraId="78A4AD8A" w14:textId="4FFFC044" w:rsidR="00547197" w:rsidRDefault="00277ACF" w:rsidP="00692DA1">
      <w:pPr>
        <w:spacing w:before="240" w:after="240"/>
        <w:jc w:val="both"/>
        <w:rPr>
          <w:b/>
          <w:bCs/>
        </w:rPr>
      </w:pPr>
      <w:r w:rsidRPr="00277ACF">
        <w:rPr>
          <w:b/>
          <w:bCs/>
        </w:rPr>
        <w:t>Note S</w:t>
      </w:r>
      <w:r w:rsidR="000554B3" w:rsidRPr="004D4A74">
        <w:rPr>
          <w:b/>
          <w:bCs/>
        </w:rPr>
        <w:t>19</w:t>
      </w:r>
      <w:r w:rsidR="00D65D2A" w:rsidRPr="004D4A74">
        <w:rPr>
          <w:b/>
          <w:bCs/>
          <w:lang w:val="vi-VN"/>
        </w:rPr>
        <w:t xml:space="preserve"> The initial approach of large-scale pouch cell designed by 1D core-shell MOF-based QSSE at 100 </w:t>
      </w:r>
      <w:r w:rsidR="00D65D2A" w:rsidRPr="004D4A74">
        <w:rPr>
          <w:b/>
          <w:bCs/>
          <w:vertAlign w:val="superscript"/>
          <w:lang w:val="vi-VN"/>
        </w:rPr>
        <w:t>o</w:t>
      </w:r>
      <w:r w:rsidR="00692DA1">
        <w:rPr>
          <w:b/>
          <w:bCs/>
          <w:lang w:val="vi-VN"/>
        </w:rPr>
        <w:t>C</w:t>
      </w:r>
    </w:p>
    <w:p w14:paraId="0737E547" w14:textId="407170F9" w:rsidR="00547197" w:rsidRDefault="00D65D2A" w:rsidP="00644D59">
      <w:pPr>
        <w:pStyle w:val="NormalWeb"/>
        <w:spacing w:before="120" w:beforeAutospacing="0" w:after="120" w:afterAutospacing="0"/>
        <w:jc w:val="both"/>
        <w:rPr>
          <w:b/>
          <w:bCs/>
        </w:rPr>
      </w:pPr>
      <w:r w:rsidRPr="004D4A74">
        <w:t>To demonstrate the scalability and practical applicability of our QSSE design, a full pouch cell (</w:t>
      </w:r>
      <w:r w:rsidR="00277ACF" w:rsidRPr="00277ACF">
        <w:rPr>
          <w:b/>
        </w:rPr>
        <w:t>Fig. S</w:t>
      </w:r>
      <w:r w:rsidR="00654DD4" w:rsidRPr="004D4A74">
        <w:t>26</w:t>
      </w:r>
      <w:r w:rsidRPr="004D4A74">
        <w:t>) was assembled using a graphite anode and a high-loading LiFePO</w:t>
      </w:r>
      <w:r w:rsidR="00337025" w:rsidRPr="004D4A74">
        <w:rPr>
          <w:vertAlign w:val="subscript"/>
        </w:rPr>
        <w:t>4</w:t>
      </w:r>
      <w:r w:rsidRPr="004D4A74">
        <w:t xml:space="preserve"> (LFP) cathode with an active surface area of 13.44 cm². The anode was prepared by mixing graphite powder, Super P, and PVDF binder in a mass ratio of 8:1:1 using N-methyl-2-pyrrolidone (NMP) as the solvent. The resulting slurry was uniformly cast onto copper foil via a blade-casting method and dried under vacuum at 110 °C for 12 hours prior to pouch cell assembly. The areal loading of active material was 3.2 mg cm⁻² for the cathode and 3.58 mg cm⁻² for the anode. The pouch cell was tested for one charge–discharge cycle at a rate of 0.1 C. As shown in the galvanostatic charge–discharge (GCD) profile, the initial discharge capacity reached 133.06 mAh g</w:t>
      </w:r>
      <w:r w:rsidR="00337025" w:rsidRPr="004D4A74">
        <w:rPr>
          <w:vertAlign w:val="superscript"/>
        </w:rPr>
        <w:t>-1</w:t>
      </w:r>
      <w:r w:rsidRPr="004D4A74">
        <w:t xml:space="preserve"> (</w:t>
      </w:r>
      <w:r w:rsidR="00277ACF" w:rsidRPr="00644D59">
        <w:t>Fig. S</w:t>
      </w:r>
      <w:r w:rsidR="00654DD4" w:rsidRPr="004D4A74">
        <w:t>26</w:t>
      </w:r>
      <w:r w:rsidRPr="004D4A74">
        <w:t>). After calculation, the total output capacity of the pouch cell was 6.8 mAh, which is significantly higher than that of a coin cell using the same LFP cathode (0.78 mAh). This substantial increase in output current over time highlights the excellent scalability of our QSSE architecture and its strong potential for real-world energy storage applications. These promising results suggest that our QSSE design could serve as a viable platform for the future development of high-performance lithium metal batteries at practical device scales.</w:t>
      </w:r>
    </w:p>
    <w:p w14:paraId="356C655A" w14:textId="77777777" w:rsidR="00547197" w:rsidRDefault="00797771" w:rsidP="00277ACF">
      <w:pPr>
        <w:spacing w:before="120" w:after="120"/>
        <w:jc w:val="both"/>
      </w:pPr>
      <w:r w:rsidRPr="004D4A74">
        <w:rPr>
          <w:noProof/>
          <w:lang w:val="en-IN" w:eastAsia="en-IN"/>
        </w:rPr>
        <w:drawing>
          <wp:inline distT="0" distB="0" distL="0" distR="0" wp14:anchorId="54BE0CF2" wp14:editId="1A039302">
            <wp:extent cx="5897366" cy="35645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a:extLst>
                        <a:ext uri="{28A0092B-C50C-407E-A947-70E740481C1C}">
                          <a14:useLocalDpi xmlns:a14="http://schemas.microsoft.com/office/drawing/2010/main" val="0"/>
                        </a:ext>
                      </a:extLst>
                    </a:blip>
                    <a:srcRect r="29646" b="30158"/>
                    <a:stretch/>
                  </pic:blipFill>
                  <pic:spPr bwMode="auto">
                    <a:xfrm>
                      <a:off x="0" y="0"/>
                      <a:ext cx="5900756" cy="3566642"/>
                    </a:xfrm>
                    <a:prstGeom prst="rect">
                      <a:avLst/>
                    </a:prstGeom>
                    <a:noFill/>
                    <a:ln>
                      <a:noFill/>
                    </a:ln>
                    <a:extLst>
                      <a:ext uri="{53640926-AAD7-44D8-BBD7-CCE9431645EC}">
                        <a14:shadowObscured xmlns:a14="http://schemas.microsoft.com/office/drawing/2010/main"/>
                      </a:ext>
                    </a:extLst>
                  </pic:spPr>
                </pic:pic>
              </a:graphicData>
            </a:graphic>
          </wp:inline>
        </w:drawing>
      </w:r>
    </w:p>
    <w:p w14:paraId="4CFE3280" w14:textId="08C40EB6" w:rsidR="00547197" w:rsidRDefault="00644D59" w:rsidP="00277ACF">
      <w:pPr>
        <w:spacing w:before="120" w:after="120"/>
        <w:jc w:val="both"/>
      </w:pPr>
      <w:r>
        <w:rPr>
          <w:b/>
          <w:bCs/>
        </w:rPr>
        <w:t>Fig. S</w:t>
      </w:r>
      <w:r w:rsidR="00654DD4" w:rsidRPr="004D4A74">
        <w:rPr>
          <w:b/>
          <w:bCs/>
        </w:rPr>
        <w:t>26</w:t>
      </w:r>
      <w:r w:rsidR="00797771" w:rsidRPr="004D4A74">
        <w:rPr>
          <w:b/>
          <w:bCs/>
          <w:lang w:val="vi-VN"/>
        </w:rPr>
        <w:t xml:space="preserve"> a</w:t>
      </w:r>
      <w:r w:rsidR="00797771" w:rsidRPr="004D4A74">
        <w:rPr>
          <w:lang w:val="vi-VN"/>
        </w:rPr>
        <w:t>,</w:t>
      </w:r>
      <w:r w:rsidR="00797771" w:rsidRPr="004D4A74">
        <w:rPr>
          <w:b/>
          <w:bCs/>
          <w:lang w:val="vi-VN"/>
        </w:rPr>
        <w:t xml:space="preserve"> </w:t>
      </w:r>
      <w:r w:rsidR="00797771" w:rsidRPr="004D4A74">
        <w:t>Digital photo of prepared pouch cell using</w:t>
      </w:r>
      <w:r w:rsidR="00797771" w:rsidRPr="004D4A74">
        <w:rPr>
          <w:lang w:val="vi-VN"/>
        </w:rPr>
        <w:t xml:space="preserve"> the designed MOF-based QSSE. </w:t>
      </w:r>
      <w:r w:rsidR="00797771" w:rsidRPr="004D4A74">
        <w:rPr>
          <w:b/>
          <w:bCs/>
          <w:lang w:val="vi-VN"/>
        </w:rPr>
        <w:t>b</w:t>
      </w:r>
      <w:r w:rsidR="00797771" w:rsidRPr="004D4A74">
        <w:rPr>
          <w:lang w:val="vi-VN"/>
        </w:rPr>
        <w:t xml:space="preserve">, </w:t>
      </w:r>
      <w:r w:rsidR="00797771" w:rsidRPr="004D4A74">
        <w:rPr>
          <w:shd w:val="clear" w:color="auto" w:fill="FFFFFF"/>
        </w:rPr>
        <w:t>The</w:t>
      </w:r>
      <w:r w:rsidR="00797771" w:rsidRPr="004D4A74">
        <w:rPr>
          <w:shd w:val="clear" w:color="auto" w:fill="FFFFFF"/>
          <w:lang w:val="vi-VN"/>
        </w:rPr>
        <w:t xml:space="preserve"> initial</w:t>
      </w:r>
      <w:r w:rsidR="00797771" w:rsidRPr="004D4A74">
        <w:rPr>
          <w:shd w:val="clear" w:color="auto" w:fill="FFFFFF"/>
        </w:rPr>
        <w:t xml:space="preserve"> galvanostatic charge-discharge (GCD) curve of pouch cell at 0.1 C</w:t>
      </w:r>
      <w:r w:rsidR="00797771" w:rsidRPr="004D4A74">
        <w:rPr>
          <w:shd w:val="clear" w:color="auto" w:fill="FFFFFF"/>
          <w:lang w:val="vi-VN"/>
        </w:rPr>
        <w:t xml:space="preserve"> and very high temperature (100 </w:t>
      </w:r>
      <w:r w:rsidR="00797771" w:rsidRPr="004D4A74">
        <w:rPr>
          <w:shd w:val="clear" w:color="auto" w:fill="FFFFFF"/>
          <w:vertAlign w:val="superscript"/>
          <w:lang w:val="vi-VN"/>
        </w:rPr>
        <w:t>o</w:t>
      </w:r>
      <w:r w:rsidR="00797771" w:rsidRPr="004D4A74">
        <w:rPr>
          <w:shd w:val="clear" w:color="auto" w:fill="FFFFFF"/>
          <w:lang w:val="vi-VN"/>
        </w:rPr>
        <w:t>C)</w:t>
      </w:r>
    </w:p>
    <w:p w14:paraId="24F5D390" w14:textId="0D1FF4F0" w:rsidR="00547197" w:rsidRDefault="00D65D2A" w:rsidP="00C95C69">
      <w:pPr>
        <w:spacing w:before="240" w:after="240"/>
        <w:jc w:val="both"/>
        <w:rPr>
          <w:b/>
          <w:bCs/>
        </w:rPr>
      </w:pPr>
      <w:r w:rsidRPr="00F25BBD">
        <w:rPr>
          <w:b/>
          <w:bCs/>
          <w:sz w:val="28"/>
        </w:rPr>
        <w:t>Supplementary References</w:t>
      </w:r>
    </w:p>
    <w:p w14:paraId="0914BB4C" w14:textId="2823AB26"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M.H. Nguyen, N.M. Ngo, B.-K. Kim, S. Park, Dual ionic pathways in semi-solid electrolyte based on binary metal–organic frameworks enable stable operation of Li-metal batteries at extremely high temperatures. Adv. Sci. </w:t>
      </w:r>
      <w:r w:rsidRPr="00C95C69">
        <w:rPr>
          <w:rFonts w:ascii="Times New Roman" w:eastAsia="DengXian" w:hAnsi="Times New Roman"/>
          <w:b/>
          <w:kern w:val="2"/>
          <w:sz w:val="24"/>
          <w:szCs w:val="24"/>
          <w:lang w:val="en-US" w:eastAsia="zh-CN"/>
        </w:rPr>
        <w:t>11</w:t>
      </w:r>
      <w:r w:rsidRPr="00C95C69">
        <w:rPr>
          <w:rFonts w:ascii="Times New Roman" w:eastAsia="DengXian" w:hAnsi="Times New Roman"/>
          <w:kern w:val="2"/>
          <w:sz w:val="24"/>
          <w:szCs w:val="24"/>
          <w:lang w:val="en-US" w:eastAsia="zh-CN"/>
        </w:rPr>
        <w:t xml:space="preserve">(43), 2407018 (2024). </w:t>
      </w:r>
      <w:hyperlink r:id="rId37" w:history="1">
        <w:r w:rsidR="0083658A" w:rsidRPr="003B7F8D">
          <w:rPr>
            <w:rStyle w:val="Hyperlink"/>
            <w:rFonts w:ascii="Times New Roman" w:eastAsia="DengXian" w:hAnsi="Times New Roman"/>
            <w:kern w:val="2"/>
            <w:sz w:val="24"/>
            <w:szCs w:val="24"/>
            <w:lang w:val="en-US" w:eastAsia="zh-CN"/>
          </w:rPr>
          <w:t>https://doi.org/10.1002/advs.202407018</w:t>
        </w:r>
      </w:hyperlink>
      <w:r w:rsidR="0083658A">
        <w:rPr>
          <w:rFonts w:ascii="Times New Roman" w:eastAsia="DengXian" w:hAnsi="Times New Roman"/>
          <w:kern w:val="2"/>
          <w:sz w:val="24"/>
          <w:szCs w:val="24"/>
          <w:lang w:val="en-US" w:eastAsia="zh-CN"/>
        </w:rPr>
        <w:t xml:space="preserve"> </w:t>
      </w:r>
    </w:p>
    <w:p w14:paraId="7B621092" w14:textId="16B5A5BF"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X.-H. Shi, X.-L. Li, Y.-M. Li, Z. Li, D.-Y. Wang, Flame-retardant strategy and mechanism of fiber reinforced polymeric composite: a review. Compos. Part B Eng. </w:t>
      </w:r>
      <w:r w:rsidRPr="00C95C69">
        <w:rPr>
          <w:rFonts w:ascii="Times New Roman" w:eastAsia="DengXian" w:hAnsi="Times New Roman"/>
          <w:b/>
          <w:kern w:val="2"/>
          <w:sz w:val="24"/>
          <w:szCs w:val="24"/>
          <w:lang w:val="en-US" w:eastAsia="zh-CN"/>
        </w:rPr>
        <w:t>233</w:t>
      </w:r>
      <w:r w:rsidRPr="00C95C69">
        <w:rPr>
          <w:rFonts w:ascii="Times New Roman" w:eastAsia="DengXian" w:hAnsi="Times New Roman"/>
          <w:kern w:val="2"/>
          <w:sz w:val="24"/>
          <w:szCs w:val="24"/>
          <w:lang w:val="en-US" w:eastAsia="zh-CN"/>
        </w:rPr>
        <w:t xml:space="preserve">, 109663 (2022). </w:t>
      </w:r>
      <w:hyperlink r:id="rId38" w:history="1">
        <w:r w:rsidR="0083658A" w:rsidRPr="003B7F8D">
          <w:rPr>
            <w:rStyle w:val="Hyperlink"/>
            <w:rFonts w:ascii="Times New Roman" w:eastAsia="DengXian" w:hAnsi="Times New Roman"/>
            <w:kern w:val="2"/>
            <w:sz w:val="24"/>
            <w:szCs w:val="24"/>
            <w:lang w:val="en-US" w:eastAsia="zh-CN"/>
          </w:rPr>
          <w:t>https://doi.org/10.1016/j.compositesb.2022.109663</w:t>
        </w:r>
      </w:hyperlink>
      <w:r w:rsidR="0083658A">
        <w:rPr>
          <w:rFonts w:ascii="Times New Roman" w:eastAsia="DengXian" w:hAnsi="Times New Roman"/>
          <w:kern w:val="2"/>
          <w:sz w:val="24"/>
          <w:szCs w:val="24"/>
          <w:lang w:val="en-US" w:eastAsia="zh-CN"/>
        </w:rPr>
        <w:t xml:space="preserve"> </w:t>
      </w:r>
    </w:p>
    <w:p w14:paraId="7C22B98E" w14:textId="2821BA90"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W. Liu, Y. Zhu, C. Qian, H. Dai, Y. Fu et al., Interfacial modification between glass fiber and polypropylene using a novel waterborne amphiphilic sizing agent. Compos. Part B Eng. </w:t>
      </w:r>
      <w:r w:rsidRPr="00C95C69">
        <w:rPr>
          <w:rFonts w:ascii="Times New Roman" w:eastAsia="DengXian" w:hAnsi="Times New Roman"/>
          <w:b/>
          <w:kern w:val="2"/>
          <w:sz w:val="24"/>
          <w:szCs w:val="24"/>
          <w:lang w:val="en-US" w:eastAsia="zh-CN"/>
        </w:rPr>
        <w:t>241</w:t>
      </w:r>
      <w:r w:rsidRPr="00C95C69">
        <w:rPr>
          <w:rFonts w:ascii="Times New Roman" w:eastAsia="DengXian" w:hAnsi="Times New Roman"/>
          <w:kern w:val="2"/>
          <w:sz w:val="24"/>
          <w:szCs w:val="24"/>
          <w:lang w:val="en-US" w:eastAsia="zh-CN"/>
        </w:rPr>
        <w:t xml:space="preserve">, 110029 (2022). </w:t>
      </w:r>
      <w:hyperlink r:id="rId39" w:history="1">
        <w:r w:rsidR="0083658A" w:rsidRPr="003B7F8D">
          <w:rPr>
            <w:rStyle w:val="Hyperlink"/>
            <w:rFonts w:ascii="Times New Roman" w:eastAsia="DengXian" w:hAnsi="Times New Roman"/>
            <w:kern w:val="2"/>
            <w:sz w:val="24"/>
            <w:szCs w:val="24"/>
            <w:lang w:val="en-US" w:eastAsia="zh-CN"/>
          </w:rPr>
          <w:t>https://doi.org/10.1016/j.compositesb.2022.110029</w:t>
        </w:r>
      </w:hyperlink>
      <w:r w:rsidR="0083658A">
        <w:rPr>
          <w:rFonts w:ascii="Times New Roman" w:eastAsia="DengXian" w:hAnsi="Times New Roman"/>
          <w:kern w:val="2"/>
          <w:sz w:val="24"/>
          <w:szCs w:val="24"/>
          <w:lang w:val="en-US" w:eastAsia="zh-CN"/>
        </w:rPr>
        <w:t xml:space="preserve"> </w:t>
      </w:r>
    </w:p>
    <w:p w14:paraId="5B357AFD" w14:textId="7BFD46DC"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Y. Wu, Y. Song, D. Wu, X. Mao, X. Yang et al., Recent progress in modifications, properties, and practical applications of glass fiber. Molecules </w:t>
      </w:r>
      <w:r w:rsidRPr="00C95C69">
        <w:rPr>
          <w:rFonts w:ascii="Times New Roman" w:eastAsia="DengXian" w:hAnsi="Times New Roman"/>
          <w:b/>
          <w:kern w:val="2"/>
          <w:sz w:val="24"/>
          <w:szCs w:val="24"/>
          <w:lang w:val="en-US" w:eastAsia="zh-CN"/>
        </w:rPr>
        <w:t>28</w:t>
      </w:r>
      <w:r w:rsidRPr="00C95C69">
        <w:rPr>
          <w:rFonts w:ascii="Times New Roman" w:eastAsia="DengXian" w:hAnsi="Times New Roman"/>
          <w:kern w:val="2"/>
          <w:sz w:val="24"/>
          <w:szCs w:val="24"/>
          <w:lang w:val="en-US" w:eastAsia="zh-CN"/>
        </w:rPr>
        <w:t xml:space="preserve">(6), 2466 (2023). </w:t>
      </w:r>
      <w:hyperlink r:id="rId40" w:history="1">
        <w:r w:rsidR="0083658A" w:rsidRPr="003B7F8D">
          <w:rPr>
            <w:rStyle w:val="Hyperlink"/>
            <w:rFonts w:ascii="Times New Roman" w:eastAsia="DengXian" w:hAnsi="Times New Roman"/>
            <w:kern w:val="2"/>
            <w:sz w:val="24"/>
            <w:szCs w:val="24"/>
            <w:lang w:val="en-US" w:eastAsia="zh-CN"/>
          </w:rPr>
          <w:t>https://doi.org/10.3390/molecules28062466</w:t>
        </w:r>
      </w:hyperlink>
      <w:r w:rsidR="0083658A">
        <w:rPr>
          <w:rFonts w:ascii="Times New Roman" w:eastAsia="DengXian" w:hAnsi="Times New Roman"/>
          <w:kern w:val="2"/>
          <w:sz w:val="24"/>
          <w:szCs w:val="24"/>
          <w:lang w:val="en-US" w:eastAsia="zh-CN"/>
        </w:rPr>
        <w:t xml:space="preserve"> </w:t>
      </w:r>
    </w:p>
    <w:p w14:paraId="2DBC263C" w14:textId="3D30541A"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P. Newsholme, L. Stenson, M. Sulvucci, R. Sumayao, M. Krause, Amino acid metabolism. In: Comprehensive Biotechnology, pp. 3–14. Elsevier (2011). </w:t>
      </w:r>
      <w:hyperlink r:id="rId41" w:history="1">
        <w:r w:rsidR="0083658A" w:rsidRPr="003B7F8D">
          <w:rPr>
            <w:rStyle w:val="Hyperlink"/>
            <w:rFonts w:ascii="Times New Roman" w:eastAsia="DengXian" w:hAnsi="Times New Roman"/>
            <w:kern w:val="2"/>
            <w:sz w:val="24"/>
            <w:szCs w:val="24"/>
            <w:lang w:val="en-US" w:eastAsia="zh-CN"/>
          </w:rPr>
          <w:t>https://doi.org/10.1016/b978-0-08-088504-9.00002-7</w:t>
        </w:r>
      </w:hyperlink>
      <w:r w:rsidR="0083658A">
        <w:rPr>
          <w:rFonts w:ascii="Times New Roman" w:eastAsia="DengXian" w:hAnsi="Times New Roman"/>
          <w:kern w:val="2"/>
          <w:sz w:val="24"/>
          <w:szCs w:val="24"/>
          <w:lang w:val="en-US" w:eastAsia="zh-CN"/>
        </w:rPr>
        <w:t xml:space="preserve"> </w:t>
      </w:r>
    </w:p>
    <w:p w14:paraId="26139BF9" w14:textId="0BF7F2E2"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T.D. Tavares, J.C. Antunes, F. Ferreira, H.P. Felgueiras, Biofunctionalization of natural fiber-reinforced biocomposites for biomedical applications. Biomolecules </w:t>
      </w:r>
      <w:r w:rsidRPr="00C95C69">
        <w:rPr>
          <w:rFonts w:ascii="Times New Roman" w:eastAsia="DengXian" w:hAnsi="Times New Roman"/>
          <w:b/>
          <w:kern w:val="2"/>
          <w:sz w:val="24"/>
          <w:szCs w:val="24"/>
          <w:lang w:val="en-US" w:eastAsia="zh-CN"/>
        </w:rPr>
        <w:t>10</w:t>
      </w:r>
      <w:r w:rsidRPr="00C95C69">
        <w:rPr>
          <w:rFonts w:ascii="Times New Roman" w:eastAsia="DengXian" w:hAnsi="Times New Roman"/>
          <w:kern w:val="2"/>
          <w:sz w:val="24"/>
          <w:szCs w:val="24"/>
          <w:lang w:val="en-US" w:eastAsia="zh-CN"/>
        </w:rPr>
        <w:t xml:space="preserve">(1), 148 (2020). </w:t>
      </w:r>
      <w:hyperlink r:id="rId42" w:history="1">
        <w:r w:rsidR="0083658A" w:rsidRPr="003B7F8D">
          <w:rPr>
            <w:rStyle w:val="Hyperlink"/>
            <w:rFonts w:ascii="Times New Roman" w:eastAsia="DengXian" w:hAnsi="Times New Roman"/>
            <w:kern w:val="2"/>
            <w:sz w:val="24"/>
            <w:szCs w:val="24"/>
            <w:lang w:val="en-US" w:eastAsia="zh-CN"/>
          </w:rPr>
          <w:t>https://doi.org/10.3390/biom10010148</w:t>
        </w:r>
      </w:hyperlink>
      <w:r w:rsidR="0083658A">
        <w:rPr>
          <w:rFonts w:ascii="Times New Roman" w:eastAsia="DengXian" w:hAnsi="Times New Roman"/>
          <w:kern w:val="2"/>
          <w:sz w:val="24"/>
          <w:szCs w:val="24"/>
          <w:lang w:val="en-US" w:eastAsia="zh-CN"/>
        </w:rPr>
        <w:t xml:space="preserve"> </w:t>
      </w:r>
    </w:p>
    <w:p w14:paraId="59536092" w14:textId="36D73C86"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N.D. Tissera, R.N. Wijesena, H. Yasasri, K.M.N. de Silva, R.M. de Silva, Fibrous keratin protein bio micro structure for efficient removal of hazardous dye waste from water: Surface charge mediated interfaces for multiple adsorption desorption cycles. Mater. Chem. Phys. </w:t>
      </w:r>
      <w:r w:rsidRPr="00C95C69">
        <w:rPr>
          <w:rFonts w:ascii="Times New Roman" w:eastAsia="DengXian" w:hAnsi="Times New Roman"/>
          <w:b/>
          <w:kern w:val="2"/>
          <w:sz w:val="24"/>
          <w:szCs w:val="24"/>
          <w:lang w:val="en-US" w:eastAsia="zh-CN"/>
        </w:rPr>
        <w:t>246</w:t>
      </w:r>
      <w:r w:rsidRPr="00C95C69">
        <w:rPr>
          <w:rFonts w:ascii="Times New Roman" w:eastAsia="DengXian" w:hAnsi="Times New Roman"/>
          <w:kern w:val="2"/>
          <w:sz w:val="24"/>
          <w:szCs w:val="24"/>
          <w:lang w:val="en-US" w:eastAsia="zh-CN"/>
        </w:rPr>
        <w:t xml:space="preserve">, 122790 (2020). </w:t>
      </w:r>
      <w:hyperlink r:id="rId43" w:history="1">
        <w:r w:rsidR="0083658A" w:rsidRPr="003B7F8D">
          <w:rPr>
            <w:rStyle w:val="Hyperlink"/>
            <w:rFonts w:ascii="Times New Roman" w:eastAsia="DengXian" w:hAnsi="Times New Roman"/>
            <w:kern w:val="2"/>
            <w:sz w:val="24"/>
            <w:szCs w:val="24"/>
            <w:lang w:val="en-US" w:eastAsia="zh-CN"/>
          </w:rPr>
          <w:t>https://doi.org/10.1016/j.matchemphys.2020.122790</w:t>
        </w:r>
      </w:hyperlink>
      <w:r w:rsidR="0083658A">
        <w:rPr>
          <w:rFonts w:ascii="Times New Roman" w:eastAsia="DengXian" w:hAnsi="Times New Roman"/>
          <w:kern w:val="2"/>
          <w:sz w:val="24"/>
          <w:szCs w:val="24"/>
          <w:lang w:val="en-US" w:eastAsia="zh-CN"/>
        </w:rPr>
        <w:t xml:space="preserve"> </w:t>
      </w:r>
    </w:p>
    <w:p w14:paraId="6EAC94F5" w14:textId="0C0B4DDD"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A. Yıldız, A.A. Kara, F. Acartürk, Peptide-protein based nanofibers in pharmaceutical and biomedical applications. Int. J. Biol. Macromol. </w:t>
      </w:r>
      <w:r w:rsidRPr="00C95C69">
        <w:rPr>
          <w:rFonts w:ascii="Times New Roman" w:eastAsia="DengXian" w:hAnsi="Times New Roman"/>
          <w:b/>
          <w:kern w:val="2"/>
          <w:sz w:val="24"/>
          <w:szCs w:val="24"/>
          <w:lang w:val="en-US" w:eastAsia="zh-CN"/>
        </w:rPr>
        <w:t>148</w:t>
      </w:r>
      <w:r w:rsidRPr="00C95C69">
        <w:rPr>
          <w:rFonts w:ascii="Times New Roman" w:eastAsia="DengXian" w:hAnsi="Times New Roman"/>
          <w:kern w:val="2"/>
          <w:sz w:val="24"/>
          <w:szCs w:val="24"/>
          <w:lang w:val="en-US" w:eastAsia="zh-CN"/>
        </w:rPr>
        <w:t xml:space="preserve">, 1084–1097 (2020). </w:t>
      </w:r>
      <w:hyperlink r:id="rId44" w:history="1">
        <w:r w:rsidR="0083658A" w:rsidRPr="003B7F8D">
          <w:rPr>
            <w:rStyle w:val="Hyperlink"/>
            <w:rFonts w:ascii="Times New Roman" w:eastAsia="DengXian" w:hAnsi="Times New Roman"/>
            <w:kern w:val="2"/>
            <w:sz w:val="24"/>
            <w:szCs w:val="24"/>
            <w:lang w:val="en-US" w:eastAsia="zh-CN"/>
          </w:rPr>
          <w:t>https://doi.org/10.1016/j.ijbiomac.2019.12.275</w:t>
        </w:r>
      </w:hyperlink>
      <w:r w:rsidR="0083658A">
        <w:rPr>
          <w:rFonts w:ascii="Times New Roman" w:eastAsia="DengXian" w:hAnsi="Times New Roman"/>
          <w:kern w:val="2"/>
          <w:sz w:val="24"/>
          <w:szCs w:val="24"/>
          <w:lang w:val="en-US" w:eastAsia="zh-CN"/>
        </w:rPr>
        <w:t xml:space="preserve"> </w:t>
      </w:r>
    </w:p>
    <w:p w14:paraId="6DDB65A0" w14:textId="467CF1DD"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S.S. Kunde, S. Wairkar, Targeted delivery of albumin nanoparticles for breast cancer: a review. Colloids Surf. B Biointerfaces </w:t>
      </w:r>
      <w:r w:rsidRPr="00C95C69">
        <w:rPr>
          <w:rFonts w:ascii="Times New Roman" w:eastAsia="DengXian" w:hAnsi="Times New Roman"/>
          <w:b/>
          <w:kern w:val="2"/>
          <w:sz w:val="24"/>
          <w:szCs w:val="24"/>
          <w:lang w:val="en-US" w:eastAsia="zh-CN"/>
        </w:rPr>
        <w:t>213</w:t>
      </w:r>
      <w:r w:rsidRPr="00C95C69">
        <w:rPr>
          <w:rFonts w:ascii="Times New Roman" w:eastAsia="DengXian" w:hAnsi="Times New Roman"/>
          <w:kern w:val="2"/>
          <w:sz w:val="24"/>
          <w:szCs w:val="24"/>
          <w:lang w:val="en-US" w:eastAsia="zh-CN"/>
        </w:rPr>
        <w:t xml:space="preserve">, 112422 (2022). </w:t>
      </w:r>
      <w:hyperlink r:id="rId45" w:history="1">
        <w:r w:rsidR="0083658A" w:rsidRPr="003B7F8D">
          <w:rPr>
            <w:rStyle w:val="Hyperlink"/>
            <w:rFonts w:ascii="Times New Roman" w:eastAsia="DengXian" w:hAnsi="Times New Roman"/>
            <w:kern w:val="2"/>
            <w:sz w:val="24"/>
            <w:szCs w:val="24"/>
            <w:lang w:val="en-US" w:eastAsia="zh-CN"/>
          </w:rPr>
          <w:t>https://doi.org/10.1016/j.colsurfb.2022.112422</w:t>
        </w:r>
      </w:hyperlink>
      <w:r w:rsidR="0083658A">
        <w:rPr>
          <w:rFonts w:ascii="Times New Roman" w:eastAsia="DengXian" w:hAnsi="Times New Roman"/>
          <w:kern w:val="2"/>
          <w:sz w:val="24"/>
          <w:szCs w:val="24"/>
          <w:lang w:val="en-US" w:eastAsia="zh-CN"/>
        </w:rPr>
        <w:t xml:space="preserve"> </w:t>
      </w:r>
    </w:p>
    <w:p w14:paraId="14D69740" w14:textId="027BD4B2"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R.R. Kudarha, K.K. Sawant, Albumin based versatile multifunctional nanocarriers for cancer therapy: Fabrication, surface modification, multimodal therapeutics and imaging approaches. Mater. Sci. Eng. C </w:t>
      </w:r>
      <w:r w:rsidRPr="00C95C69">
        <w:rPr>
          <w:rFonts w:ascii="Times New Roman" w:eastAsia="DengXian" w:hAnsi="Times New Roman"/>
          <w:b/>
          <w:kern w:val="2"/>
          <w:sz w:val="24"/>
          <w:szCs w:val="24"/>
          <w:lang w:val="en-US" w:eastAsia="zh-CN"/>
        </w:rPr>
        <w:t>81</w:t>
      </w:r>
      <w:r w:rsidRPr="00C95C69">
        <w:rPr>
          <w:rFonts w:ascii="Times New Roman" w:eastAsia="DengXian" w:hAnsi="Times New Roman"/>
          <w:kern w:val="2"/>
          <w:sz w:val="24"/>
          <w:szCs w:val="24"/>
          <w:lang w:val="en-US" w:eastAsia="zh-CN"/>
        </w:rPr>
        <w:t xml:space="preserve">, 607–626 (2017). </w:t>
      </w:r>
      <w:hyperlink r:id="rId46" w:history="1">
        <w:r w:rsidR="0083658A" w:rsidRPr="003B7F8D">
          <w:rPr>
            <w:rStyle w:val="Hyperlink"/>
            <w:rFonts w:ascii="Times New Roman" w:eastAsia="DengXian" w:hAnsi="Times New Roman"/>
            <w:kern w:val="2"/>
            <w:sz w:val="24"/>
            <w:szCs w:val="24"/>
            <w:lang w:val="en-US" w:eastAsia="zh-CN"/>
          </w:rPr>
          <w:t>https://doi.org/10.1016/j.msec.2017.08.004</w:t>
        </w:r>
      </w:hyperlink>
      <w:r w:rsidR="0083658A">
        <w:rPr>
          <w:rFonts w:ascii="Times New Roman" w:eastAsia="DengXian" w:hAnsi="Times New Roman"/>
          <w:kern w:val="2"/>
          <w:sz w:val="24"/>
          <w:szCs w:val="24"/>
          <w:lang w:val="en-US" w:eastAsia="zh-CN"/>
        </w:rPr>
        <w:t xml:space="preserve"> </w:t>
      </w:r>
    </w:p>
    <w:p w14:paraId="077529ED" w14:textId="3FE217C7"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A.O. Elzoghby, W.M. Samy, N.A. Elgindy, Albumin-based nanoparticles as potential controlled release drug delivery systems. J. Control. Release </w:t>
      </w:r>
      <w:r w:rsidRPr="00C95C69">
        <w:rPr>
          <w:rFonts w:ascii="Times New Roman" w:eastAsia="DengXian" w:hAnsi="Times New Roman"/>
          <w:b/>
          <w:kern w:val="2"/>
          <w:sz w:val="24"/>
          <w:szCs w:val="24"/>
          <w:lang w:val="en-US" w:eastAsia="zh-CN"/>
        </w:rPr>
        <w:t>157</w:t>
      </w:r>
      <w:r w:rsidRPr="00C95C69">
        <w:rPr>
          <w:rFonts w:ascii="Times New Roman" w:eastAsia="DengXian" w:hAnsi="Times New Roman"/>
          <w:kern w:val="2"/>
          <w:sz w:val="24"/>
          <w:szCs w:val="24"/>
          <w:lang w:val="en-US" w:eastAsia="zh-CN"/>
        </w:rPr>
        <w:t xml:space="preserve">(2), 168–182 (2012). </w:t>
      </w:r>
      <w:hyperlink r:id="rId47" w:history="1">
        <w:r w:rsidR="0083658A" w:rsidRPr="003B7F8D">
          <w:rPr>
            <w:rStyle w:val="Hyperlink"/>
            <w:rFonts w:ascii="Times New Roman" w:eastAsia="DengXian" w:hAnsi="Times New Roman"/>
            <w:kern w:val="2"/>
            <w:sz w:val="24"/>
            <w:szCs w:val="24"/>
            <w:lang w:val="en-US" w:eastAsia="zh-CN"/>
          </w:rPr>
          <w:t>https://doi.org/10.1016/j.jconrel.2011.07.031</w:t>
        </w:r>
      </w:hyperlink>
      <w:r w:rsidR="0083658A">
        <w:rPr>
          <w:rFonts w:ascii="Times New Roman" w:eastAsia="DengXian" w:hAnsi="Times New Roman"/>
          <w:kern w:val="2"/>
          <w:sz w:val="24"/>
          <w:szCs w:val="24"/>
          <w:lang w:val="en-US" w:eastAsia="zh-CN"/>
        </w:rPr>
        <w:t xml:space="preserve"> </w:t>
      </w:r>
    </w:p>
    <w:p w14:paraId="34D61B00" w14:textId="79A315C5"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A.-G. Nguyen, R. Verma, G.-C. Song, J. Kim, C.-J. Park, </w:t>
      </w:r>
      <w:r w:rsidRPr="00C95C69">
        <w:rPr>
          <w:rFonts w:ascii="Times New Roman" w:eastAsia="DengXian" w:hAnsi="Times New Roman"/>
          <w:i/>
          <w:kern w:val="2"/>
          <w:sz w:val="24"/>
          <w:szCs w:val="24"/>
          <w:lang w:val="en-US" w:eastAsia="zh-CN"/>
        </w:rPr>
        <w:t>In situ</w:t>
      </w:r>
      <w:r w:rsidRPr="00C95C69">
        <w:rPr>
          <w:rFonts w:ascii="Times New Roman" w:eastAsia="DengXian" w:hAnsi="Times New Roman"/>
          <w:kern w:val="2"/>
          <w:sz w:val="24"/>
          <w:szCs w:val="24"/>
          <w:lang w:val="en-US" w:eastAsia="zh-CN"/>
        </w:rPr>
        <w:t xml:space="preserve"> polymerization on a 3D ceramic framework of composite solid electrolytes for room-temperature solid-state batteries. Adv. Sci. </w:t>
      </w:r>
      <w:r w:rsidRPr="00C95C69">
        <w:rPr>
          <w:rFonts w:ascii="Times New Roman" w:eastAsia="DengXian" w:hAnsi="Times New Roman"/>
          <w:b/>
          <w:kern w:val="2"/>
          <w:sz w:val="24"/>
          <w:szCs w:val="24"/>
          <w:lang w:val="en-US" w:eastAsia="zh-CN"/>
        </w:rPr>
        <w:t>10</w:t>
      </w:r>
      <w:r w:rsidRPr="00C95C69">
        <w:rPr>
          <w:rFonts w:ascii="Times New Roman" w:eastAsia="DengXian" w:hAnsi="Times New Roman"/>
          <w:kern w:val="2"/>
          <w:sz w:val="24"/>
          <w:szCs w:val="24"/>
          <w:lang w:val="en-US" w:eastAsia="zh-CN"/>
        </w:rPr>
        <w:t xml:space="preserve">(21), 2207744 (2023). </w:t>
      </w:r>
      <w:hyperlink r:id="rId48" w:history="1">
        <w:r w:rsidR="0083658A" w:rsidRPr="003B7F8D">
          <w:rPr>
            <w:rStyle w:val="Hyperlink"/>
            <w:rFonts w:ascii="Times New Roman" w:eastAsia="DengXian" w:hAnsi="Times New Roman"/>
            <w:kern w:val="2"/>
            <w:sz w:val="24"/>
            <w:szCs w:val="24"/>
            <w:lang w:val="en-US" w:eastAsia="zh-CN"/>
          </w:rPr>
          <w:t>https://doi.org/10.1002/advs.202207744</w:t>
        </w:r>
      </w:hyperlink>
      <w:r w:rsidR="0083658A">
        <w:rPr>
          <w:rFonts w:ascii="Times New Roman" w:eastAsia="DengXian" w:hAnsi="Times New Roman"/>
          <w:kern w:val="2"/>
          <w:sz w:val="24"/>
          <w:szCs w:val="24"/>
          <w:lang w:val="en-US" w:eastAsia="zh-CN"/>
        </w:rPr>
        <w:t xml:space="preserve"> </w:t>
      </w:r>
    </w:p>
    <w:p w14:paraId="14D6A7CB" w14:textId="73575A24"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S.A.S. Mohammed, W.Z.N. Yahya, M.A. Bustam, M.G. Kibria, Experimental and computational evaluation of 1, 2, 4-triazolium-based ionic liquids for carbon dioxide capture. Separations </w:t>
      </w:r>
      <w:r w:rsidRPr="00C95C69">
        <w:rPr>
          <w:rFonts w:ascii="Times New Roman" w:eastAsia="DengXian" w:hAnsi="Times New Roman"/>
          <w:b/>
          <w:kern w:val="2"/>
          <w:sz w:val="24"/>
          <w:szCs w:val="24"/>
          <w:lang w:val="en-US" w:eastAsia="zh-CN"/>
        </w:rPr>
        <w:t>10</w:t>
      </w:r>
      <w:r w:rsidRPr="00C95C69">
        <w:rPr>
          <w:rFonts w:ascii="Times New Roman" w:eastAsia="DengXian" w:hAnsi="Times New Roman"/>
          <w:kern w:val="2"/>
          <w:sz w:val="24"/>
          <w:szCs w:val="24"/>
          <w:lang w:val="en-US" w:eastAsia="zh-CN"/>
        </w:rPr>
        <w:t xml:space="preserve">(3), 192 (2023). </w:t>
      </w:r>
      <w:hyperlink r:id="rId49" w:history="1">
        <w:r w:rsidR="0083658A" w:rsidRPr="003B7F8D">
          <w:rPr>
            <w:rStyle w:val="Hyperlink"/>
            <w:rFonts w:ascii="Times New Roman" w:eastAsia="DengXian" w:hAnsi="Times New Roman"/>
            <w:kern w:val="2"/>
            <w:sz w:val="24"/>
            <w:szCs w:val="24"/>
            <w:lang w:val="en-US" w:eastAsia="zh-CN"/>
          </w:rPr>
          <w:t>https://doi.org/10.3390/separations10030192</w:t>
        </w:r>
      </w:hyperlink>
      <w:r w:rsidR="0083658A">
        <w:rPr>
          <w:rFonts w:ascii="Times New Roman" w:eastAsia="DengXian" w:hAnsi="Times New Roman"/>
          <w:kern w:val="2"/>
          <w:sz w:val="24"/>
          <w:szCs w:val="24"/>
          <w:lang w:val="en-US" w:eastAsia="zh-CN"/>
        </w:rPr>
        <w:t xml:space="preserve"> </w:t>
      </w:r>
    </w:p>
    <w:p w14:paraId="09EFD397" w14:textId="4B5EC9D3"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Y. Zhu, Q. Liu, J. Caro, A. Huang, Highly hydrogen-permselective zeolitic imidazolate framework ZIF-8 membranes prepared on coarse and macroporous tubes through repeated synthesis. Sep. Purif. Technol. </w:t>
      </w:r>
      <w:r w:rsidRPr="00C95C69">
        <w:rPr>
          <w:rFonts w:ascii="Times New Roman" w:eastAsia="DengXian" w:hAnsi="Times New Roman"/>
          <w:b/>
          <w:kern w:val="2"/>
          <w:sz w:val="24"/>
          <w:szCs w:val="24"/>
          <w:lang w:val="en-US" w:eastAsia="zh-CN"/>
        </w:rPr>
        <w:t>146</w:t>
      </w:r>
      <w:r w:rsidRPr="00C95C69">
        <w:rPr>
          <w:rFonts w:ascii="Times New Roman" w:eastAsia="DengXian" w:hAnsi="Times New Roman"/>
          <w:kern w:val="2"/>
          <w:sz w:val="24"/>
          <w:szCs w:val="24"/>
          <w:lang w:val="en-US" w:eastAsia="zh-CN"/>
        </w:rPr>
        <w:t xml:space="preserve">, 68–74 (2015). </w:t>
      </w:r>
      <w:hyperlink r:id="rId50" w:history="1">
        <w:r w:rsidR="0083658A" w:rsidRPr="003B7F8D">
          <w:rPr>
            <w:rStyle w:val="Hyperlink"/>
            <w:rFonts w:ascii="Times New Roman" w:eastAsia="DengXian" w:hAnsi="Times New Roman"/>
            <w:kern w:val="2"/>
            <w:sz w:val="24"/>
            <w:szCs w:val="24"/>
            <w:lang w:val="en-US" w:eastAsia="zh-CN"/>
          </w:rPr>
          <w:t>https://doi.org/10.1016/j.seppur.2015.03.020</w:t>
        </w:r>
      </w:hyperlink>
      <w:r w:rsidR="0083658A">
        <w:rPr>
          <w:rFonts w:ascii="Times New Roman" w:eastAsia="DengXian" w:hAnsi="Times New Roman"/>
          <w:kern w:val="2"/>
          <w:sz w:val="24"/>
          <w:szCs w:val="24"/>
          <w:lang w:val="en-US" w:eastAsia="zh-CN"/>
        </w:rPr>
        <w:t xml:space="preserve"> </w:t>
      </w:r>
    </w:p>
    <w:p w14:paraId="50950E36" w14:textId="29B35F65"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Y. Mao, B. Su, W. Cao, J. Li, Y. Ying et al., Specific oriented metal-organic framework membranes and their facet-tuned separation performance. ACS Appl. Mater. Interfaces </w:t>
      </w:r>
      <w:r w:rsidRPr="00C95C69">
        <w:rPr>
          <w:rFonts w:ascii="Times New Roman" w:eastAsia="DengXian" w:hAnsi="Times New Roman"/>
          <w:b/>
          <w:kern w:val="2"/>
          <w:sz w:val="24"/>
          <w:szCs w:val="24"/>
          <w:lang w:val="en-US" w:eastAsia="zh-CN"/>
        </w:rPr>
        <w:t>6</w:t>
      </w:r>
      <w:r w:rsidRPr="00C95C69">
        <w:rPr>
          <w:rFonts w:ascii="Times New Roman" w:eastAsia="DengXian" w:hAnsi="Times New Roman"/>
          <w:kern w:val="2"/>
          <w:sz w:val="24"/>
          <w:szCs w:val="24"/>
          <w:lang w:val="en-US" w:eastAsia="zh-CN"/>
        </w:rPr>
        <w:t xml:space="preserve">(18), 15676–15685 (2014). </w:t>
      </w:r>
      <w:hyperlink r:id="rId51" w:history="1">
        <w:r w:rsidR="0083658A" w:rsidRPr="003B7F8D">
          <w:rPr>
            <w:rStyle w:val="Hyperlink"/>
            <w:rFonts w:ascii="Times New Roman" w:eastAsia="DengXian" w:hAnsi="Times New Roman"/>
            <w:kern w:val="2"/>
            <w:sz w:val="24"/>
            <w:szCs w:val="24"/>
            <w:lang w:val="en-US" w:eastAsia="zh-CN"/>
          </w:rPr>
          <w:t>https://doi.org/10.1021/am5049702</w:t>
        </w:r>
      </w:hyperlink>
      <w:r w:rsidR="0083658A">
        <w:rPr>
          <w:rFonts w:ascii="Times New Roman" w:eastAsia="DengXian" w:hAnsi="Times New Roman"/>
          <w:kern w:val="2"/>
          <w:sz w:val="24"/>
          <w:szCs w:val="24"/>
          <w:lang w:val="en-US" w:eastAsia="zh-CN"/>
        </w:rPr>
        <w:t xml:space="preserve"> </w:t>
      </w:r>
    </w:p>
    <w:p w14:paraId="014F1CF7" w14:textId="1C148011" w:rsidR="002534E7" w:rsidRPr="00C95C69" w:rsidRDefault="002534E7" w:rsidP="00B402A6">
      <w:pPr>
        <w:pStyle w:val="ListParagraph"/>
        <w:widowControl w:val="0"/>
        <w:numPr>
          <w:ilvl w:val="0"/>
          <w:numId w:val="5"/>
        </w:numPr>
        <w:spacing w:before="120" w:after="120"/>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M. Pathak, A. Mahun, P. Černoch, Z. Morávková, Swelling mechanism of polyoxazoline-based gel polymer electrolytes for lithium-ion batteries. ACS Appl. Polym. Mater. </w:t>
      </w:r>
      <w:r w:rsidRPr="00C95C69">
        <w:rPr>
          <w:rFonts w:ascii="Times New Roman" w:eastAsia="DengXian" w:hAnsi="Times New Roman"/>
          <w:b/>
          <w:kern w:val="2"/>
          <w:sz w:val="24"/>
          <w:szCs w:val="24"/>
          <w:lang w:val="en-US" w:eastAsia="zh-CN"/>
        </w:rPr>
        <w:t>7</w:t>
      </w:r>
      <w:r w:rsidRPr="00C95C69">
        <w:rPr>
          <w:rFonts w:ascii="Times New Roman" w:eastAsia="DengXian" w:hAnsi="Times New Roman"/>
          <w:kern w:val="2"/>
          <w:sz w:val="24"/>
          <w:szCs w:val="24"/>
          <w:lang w:val="en-US" w:eastAsia="zh-CN"/>
        </w:rPr>
        <w:t>(4), 2371–2383 (2025).</w:t>
      </w:r>
      <w:r w:rsidR="00B402A6">
        <w:rPr>
          <w:rFonts w:ascii="Times New Roman" w:eastAsia="DengXian" w:hAnsi="Times New Roman"/>
          <w:kern w:val="2"/>
          <w:sz w:val="24"/>
          <w:szCs w:val="24"/>
          <w:lang w:val="en-US" w:eastAsia="zh-CN"/>
        </w:rPr>
        <w:t xml:space="preserve"> </w:t>
      </w:r>
      <w:hyperlink r:id="rId52" w:history="1">
        <w:r w:rsidR="00B402A6" w:rsidRPr="003B7F8D">
          <w:rPr>
            <w:rStyle w:val="Hyperlink"/>
            <w:rFonts w:ascii="Times New Roman" w:eastAsia="DengXian" w:hAnsi="Times New Roman"/>
            <w:kern w:val="2"/>
            <w:sz w:val="24"/>
            <w:szCs w:val="24"/>
            <w:lang w:val="en-US" w:eastAsia="zh-CN"/>
          </w:rPr>
          <w:t>https://doi.org/10.1021/acsapm.4c03473</w:t>
        </w:r>
      </w:hyperlink>
      <w:r w:rsidR="00B402A6">
        <w:rPr>
          <w:rFonts w:ascii="Times New Roman" w:eastAsia="DengXian" w:hAnsi="Times New Roman"/>
          <w:kern w:val="2"/>
          <w:sz w:val="24"/>
          <w:szCs w:val="24"/>
          <w:lang w:val="en-US" w:eastAsia="zh-CN"/>
        </w:rPr>
        <w:t xml:space="preserve"> </w:t>
      </w:r>
    </w:p>
    <w:p w14:paraId="5316E00F" w14:textId="31042F52"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G.J. Janz, J. Ambrose, J.W. Coutts, J.R. Downey, Raman spectrum of propylene carbonate. Spectrochim. Acta Part A Mol. Spectrosc. </w:t>
      </w:r>
      <w:r w:rsidRPr="00C95C69">
        <w:rPr>
          <w:rFonts w:ascii="Times New Roman" w:eastAsia="DengXian" w:hAnsi="Times New Roman"/>
          <w:b/>
          <w:kern w:val="2"/>
          <w:sz w:val="24"/>
          <w:szCs w:val="24"/>
          <w:lang w:val="en-US" w:eastAsia="zh-CN"/>
        </w:rPr>
        <w:t>35</w:t>
      </w:r>
      <w:r w:rsidRPr="00C95C69">
        <w:rPr>
          <w:rFonts w:ascii="Times New Roman" w:eastAsia="DengXian" w:hAnsi="Times New Roman"/>
          <w:kern w:val="2"/>
          <w:sz w:val="24"/>
          <w:szCs w:val="24"/>
          <w:lang w:val="en-US" w:eastAsia="zh-CN"/>
        </w:rPr>
        <w:t xml:space="preserve">(2), 175–179 (1979). </w:t>
      </w:r>
      <w:hyperlink r:id="rId53" w:history="1">
        <w:r w:rsidR="0083658A" w:rsidRPr="003B7F8D">
          <w:rPr>
            <w:rStyle w:val="Hyperlink"/>
            <w:rFonts w:ascii="Times New Roman" w:eastAsia="DengXian" w:hAnsi="Times New Roman"/>
            <w:kern w:val="2"/>
            <w:sz w:val="24"/>
            <w:szCs w:val="24"/>
            <w:lang w:val="en-US" w:eastAsia="zh-CN"/>
          </w:rPr>
          <w:t>https://doi.org/10.1016/0584-8539(79)80181-6</w:t>
        </w:r>
      </w:hyperlink>
      <w:r w:rsidR="0083658A">
        <w:rPr>
          <w:rFonts w:ascii="Times New Roman" w:eastAsia="DengXian" w:hAnsi="Times New Roman"/>
          <w:kern w:val="2"/>
          <w:sz w:val="24"/>
          <w:szCs w:val="24"/>
          <w:lang w:val="en-US" w:eastAsia="zh-CN"/>
        </w:rPr>
        <w:t xml:space="preserve"> </w:t>
      </w:r>
    </w:p>
    <w:p w14:paraId="2F9E7F5C" w14:textId="08AAC573"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S. Takamoto, C. Shinagawa, D. Motoki, K. Nakago, W. Li et al., Towards universal neural network potential for material discovery applicable to arbitrary combination of 45 elements. Nat. Commun. </w:t>
      </w:r>
      <w:r w:rsidRPr="00C95C69">
        <w:rPr>
          <w:rFonts w:ascii="Times New Roman" w:eastAsia="DengXian" w:hAnsi="Times New Roman"/>
          <w:b/>
          <w:kern w:val="2"/>
          <w:sz w:val="24"/>
          <w:szCs w:val="24"/>
          <w:lang w:val="en-US" w:eastAsia="zh-CN"/>
        </w:rPr>
        <w:t>13</w:t>
      </w:r>
      <w:r w:rsidRPr="00C95C69">
        <w:rPr>
          <w:rFonts w:ascii="Times New Roman" w:eastAsia="DengXian" w:hAnsi="Times New Roman"/>
          <w:kern w:val="2"/>
          <w:sz w:val="24"/>
          <w:szCs w:val="24"/>
          <w:lang w:val="en-US" w:eastAsia="zh-CN"/>
        </w:rPr>
        <w:t xml:space="preserve">, 2991 (2022). </w:t>
      </w:r>
      <w:hyperlink r:id="rId54" w:history="1">
        <w:r w:rsidR="0083658A" w:rsidRPr="003B7F8D">
          <w:rPr>
            <w:rStyle w:val="Hyperlink"/>
            <w:rFonts w:ascii="Times New Roman" w:eastAsia="DengXian" w:hAnsi="Times New Roman"/>
            <w:kern w:val="2"/>
            <w:sz w:val="24"/>
            <w:szCs w:val="24"/>
            <w:lang w:val="en-US" w:eastAsia="zh-CN"/>
          </w:rPr>
          <w:t>https://doi.org/10.1038/s41467-022-30687-9</w:t>
        </w:r>
      </w:hyperlink>
      <w:r w:rsidR="0083658A">
        <w:rPr>
          <w:rFonts w:ascii="Times New Roman" w:eastAsia="DengXian" w:hAnsi="Times New Roman"/>
          <w:kern w:val="2"/>
          <w:sz w:val="24"/>
          <w:szCs w:val="24"/>
          <w:lang w:val="en-US" w:eastAsia="zh-CN"/>
        </w:rPr>
        <w:t xml:space="preserve"> </w:t>
      </w:r>
    </w:p>
    <w:p w14:paraId="6E88BE8A" w14:textId="3F625AFD"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K. Hisama, G. Valadez Huerta, M. Koyama, Molecular dynamics of liquid–electrode interface by integrating Coulomb interaction into universal neural network potential. J. Comput. Chem. </w:t>
      </w:r>
      <w:r w:rsidRPr="00C95C69">
        <w:rPr>
          <w:rFonts w:ascii="Times New Roman" w:eastAsia="DengXian" w:hAnsi="Times New Roman"/>
          <w:b/>
          <w:kern w:val="2"/>
          <w:sz w:val="24"/>
          <w:szCs w:val="24"/>
          <w:lang w:val="en-US" w:eastAsia="zh-CN"/>
        </w:rPr>
        <w:t>45</w:t>
      </w:r>
      <w:r w:rsidRPr="00C95C69">
        <w:rPr>
          <w:rFonts w:ascii="Times New Roman" w:eastAsia="DengXian" w:hAnsi="Times New Roman"/>
          <w:kern w:val="2"/>
          <w:sz w:val="24"/>
          <w:szCs w:val="24"/>
          <w:lang w:val="en-US" w:eastAsia="zh-CN"/>
        </w:rPr>
        <w:t xml:space="preserve">(32), 2805–2811 (2024). </w:t>
      </w:r>
      <w:hyperlink r:id="rId55" w:history="1">
        <w:r w:rsidR="0083658A" w:rsidRPr="003B7F8D">
          <w:rPr>
            <w:rStyle w:val="Hyperlink"/>
            <w:rFonts w:ascii="Times New Roman" w:eastAsia="DengXian" w:hAnsi="Times New Roman"/>
            <w:kern w:val="2"/>
            <w:sz w:val="24"/>
            <w:szCs w:val="24"/>
            <w:lang w:val="en-US" w:eastAsia="zh-CN"/>
          </w:rPr>
          <w:t>https://doi.org/10.1002/jcc.27487</w:t>
        </w:r>
      </w:hyperlink>
      <w:r w:rsidR="0083658A">
        <w:rPr>
          <w:rFonts w:ascii="Times New Roman" w:eastAsia="DengXian" w:hAnsi="Times New Roman"/>
          <w:kern w:val="2"/>
          <w:sz w:val="24"/>
          <w:szCs w:val="24"/>
          <w:lang w:val="en-US" w:eastAsia="zh-CN"/>
        </w:rPr>
        <w:t xml:space="preserve"> </w:t>
      </w:r>
    </w:p>
    <w:p w14:paraId="0F02B756" w14:textId="1A87085D"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M.S. Daw, M.I. Baskes, Embedded-atom method: Derivation and application to impurities, surfaces, and other defects in metals. Phys. Rev. B </w:t>
      </w:r>
      <w:r w:rsidRPr="00C95C69">
        <w:rPr>
          <w:rFonts w:ascii="Times New Roman" w:eastAsia="DengXian" w:hAnsi="Times New Roman"/>
          <w:b/>
          <w:kern w:val="2"/>
          <w:sz w:val="24"/>
          <w:szCs w:val="24"/>
          <w:lang w:val="en-US" w:eastAsia="zh-CN"/>
        </w:rPr>
        <w:t>29</w:t>
      </w:r>
      <w:r w:rsidRPr="00C95C69">
        <w:rPr>
          <w:rFonts w:ascii="Times New Roman" w:eastAsia="DengXian" w:hAnsi="Times New Roman"/>
          <w:kern w:val="2"/>
          <w:sz w:val="24"/>
          <w:szCs w:val="24"/>
          <w:lang w:val="en-US" w:eastAsia="zh-CN"/>
        </w:rPr>
        <w:t xml:space="preserve">(12), 6443–6453 (1984). </w:t>
      </w:r>
      <w:hyperlink r:id="rId56" w:history="1">
        <w:r w:rsidR="0083658A" w:rsidRPr="003B7F8D">
          <w:rPr>
            <w:rStyle w:val="Hyperlink"/>
            <w:rFonts w:ascii="Times New Roman" w:eastAsia="DengXian" w:hAnsi="Times New Roman"/>
            <w:kern w:val="2"/>
            <w:sz w:val="24"/>
            <w:szCs w:val="24"/>
            <w:lang w:val="en-US" w:eastAsia="zh-CN"/>
          </w:rPr>
          <w:t>https://doi.org/10.1103/physrevb.29.6443</w:t>
        </w:r>
      </w:hyperlink>
      <w:r w:rsidR="0083658A">
        <w:rPr>
          <w:rFonts w:ascii="Times New Roman" w:eastAsia="DengXian" w:hAnsi="Times New Roman"/>
          <w:kern w:val="2"/>
          <w:sz w:val="24"/>
          <w:szCs w:val="24"/>
          <w:lang w:val="en-US" w:eastAsia="zh-CN"/>
        </w:rPr>
        <w:t xml:space="preserve"> </w:t>
      </w:r>
    </w:p>
    <w:p w14:paraId="764013D0" w14:textId="79AD1803"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J. Tersoff, New empirical model for the structural properties of silicon. Phys. Rev. Lett. </w:t>
      </w:r>
      <w:r w:rsidRPr="00C95C69">
        <w:rPr>
          <w:rFonts w:ascii="Times New Roman" w:eastAsia="DengXian" w:hAnsi="Times New Roman"/>
          <w:b/>
          <w:kern w:val="2"/>
          <w:sz w:val="24"/>
          <w:szCs w:val="24"/>
          <w:lang w:val="en-US" w:eastAsia="zh-CN"/>
        </w:rPr>
        <w:t>56</w:t>
      </w:r>
      <w:r w:rsidRPr="00C95C69">
        <w:rPr>
          <w:rFonts w:ascii="Times New Roman" w:eastAsia="DengXian" w:hAnsi="Times New Roman"/>
          <w:kern w:val="2"/>
          <w:sz w:val="24"/>
          <w:szCs w:val="24"/>
          <w:lang w:val="en-US" w:eastAsia="zh-CN"/>
        </w:rPr>
        <w:t xml:space="preserve">(6), 632–635 (1986). </w:t>
      </w:r>
      <w:hyperlink r:id="rId57" w:history="1">
        <w:r w:rsidR="0083658A" w:rsidRPr="003B7F8D">
          <w:rPr>
            <w:rStyle w:val="Hyperlink"/>
            <w:rFonts w:ascii="Times New Roman" w:eastAsia="DengXian" w:hAnsi="Times New Roman"/>
            <w:kern w:val="2"/>
            <w:sz w:val="24"/>
            <w:szCs w:val="24"/>
            <w:lang w:val="en-US" w:eastAsia="zh-CN"/>
          </w:rPr>
          <w:t>https://doi.org/10.1103/PhysRevLett.56.632</w:t>
        </w:r>
      </w:hyperlink>
      <w:r w:rsidR="0083658A">
        <w:rPr>
          <w:rFonts w:ascii="Times New Roman" w:eastAsia="DengXian" w:hAnsi="Times New Roman"/>
          <w:kern w:val="2"/>
          <w:sz w:val="24"/>
          <w:szCs w:val="24"/>
          <w:lang w:val="en-US" w:eastAsia="zh-CN"/>
        </w:rPr>
        <w:t xml:space="preserve"> </w:t>
      </w:r>
    </w:p>
    <w:p w14:paraId="13450DE6" w14:textId="3AED7253"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A.C.T. van Duin, S. Dasgupta, F. Lorant, W.A. Goddard, ReaxFF: </w:t>
      </w:r>
      <w:r w:rsidRPr="00C95C69">
        <w:rPr>
          <w:rFonts w:ascii="Times New Roman" w:eastAsia="MS Gothic" w:hAnsi="Times New Roman"/>
          <w:kern w:val="2"/>
          <w:sz w:val="24"/>
          <w:szCs w:val="24"/>
          <w:lang w:val="en-US" w:eastAsia="zh-CN"/>
        </w:rPr>
        <w:t> </w:t>
      </w:r>
      <w:r w:rsidRPr="00C95C69">
        <w:rPr>
          <w:rFonts w:ascii="Times New Roman" w:eastAsia="DengXian" w:hAnsi="Times New Roman"/>
          <w:kern w:val="2"/>
          <w:sz w:val="24"/>
          <w:szCs w:val="24"/>
          <w:lang w:val="en-US" w:eastAsia="zh-CN"/>
        </w:rPr>
        <w:t xml:space="preserve"> a reactive force field for hydrocarbons. J. Phys. Chem. A </w:t>
      </w:r>
      <w:r w:rsidRPr="00C95C69">
        <w:rPr>
          <w:rFonts w:ascii="Times New Roman" w:eastAsia="DengXian" w:hAnsi="Times New Roman"/>
          <w:b/>
          <w:kern w:val="2"/>
          <w:sz w:val="24"/>
          <w:szCs w:val="24"/>
          <w:lang w:val="en-US" w:eastAsia="zh-CN"/>
        </w:rPr>
        <w:t>105</w:t>
      </w:r>
      <w:r w:rsidRPr="00C95C69">
        <w:rPr>
          <w:rFonts w:ascii="Times New Roman" w:eastAsia="DengXian" w:hAnsi="Times New Roman"/>
          <w:kern w:val="2"/>
          <w:sz w:val="24"/>
          <w:szCs w:val="24"/>
          <w:lang w:val="en-US" w:eastAsia="zh-CN"/>
        </w:rPr>
        <w:t xml:space="preserve">(41), 9396–9409 (2001). </w:t>
      </w:r>
      <w:hyperlink r:id="rId58" w:history="1">
        <w:r w:rsidR="0083658A" w:rsidRPr="003B7F8D">
          <w:rPr>
            <w:rStyle w:val="Hyperlink"/>
            <w:rFonts w:ascii="Times New Roman" w:eastAsia="DengXian" w:hAnsi="Times New Roman"/>
            <w:kern w:val="2"/>
            <w:sz w:val="24"/>
            <w:szCs w:val="24"/>
            <w:lang w:val="en-US" w:eastAsia="zh-CN"/>
          </w:rPr>
          <w:t>https://doi.org/10.1021/jp004368u</w:t>
        </w:r>
      </w:hyperlink>
      <w:r w:rsidR="0083658A">
        <w:rPr>
          <w:rFonts w:ascii="Times New Roman" w:eastAsia="DengXian" w:hAnsi="Times New Roman"/>
          <w:kern w:val="2"/>
          <w:sz w:val="24"/>
          <w:szCs w:val="24"/>
          <w:lang w:val="en-US" w:eastAsia="zh-CN"/>
        </w:rPr>
        <w:t xml:space="preserve"> </w:t>
      </w:r>
    </w:p>
    <w:p w14:paraId="5B32E36E" w14:textId="7B3F4ED2" w:rsidR="002534E7" w:rsidRPr="00C95C69" w:rsidRDefault="002534E7" w:rsidP="00C95C69">
      <w:pPr>
        <w:pStyle w:val="ListParagraph"/>
        <w:widowControl w:val="0"/>
        <w:numPr>
          <w:ilvl w:val="0"/>
          <w:numId w:val="5"/>
        </w:numPr>
        <w:spacing w:before="120" w:after="120"/>
        <w:ind w:hanging="562"/>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 xml:space="preserve">S. Choung, W. Park, J. Moon, J.W. Han, Rise of machine learning potentials in heterogeneous catalysis: Developments, applications, and prospects. Chem. Eng. J. </w:t>
      </w:r>
      <w:r w:rsidRPr="00C95C69">
        <w:rPr>
          <w:rFonts w:ascii="Times New Roman" w:eastAsia="DengXian" w:hAnsi="Times New Roman"/>
          <w:b/>
          <w:kern w:val="2"/>
          <w:sz w:val="24"/>
          <w:szCs w:val="24"/>
          <w:lang w:val="en-US" w:eastAsia="zh-CN"/>
        </w:rPr>
        <w:t>494</w:t>
      </w:r>
      <w:r w:rsidRPr="00C95C69">
        <w:rPr>
          <w:rFonts w:ascii="Times New Roman" w:eastAsia="DengXian" w:hAnsi="Times New Roman"/>
          <w:kern w:val="2"/>
          <w:sz w:val="24"/>
          <w:szCs w:val="24"/>
          <w:lang w:val="en-US" w:eastAsia="zh-CN"/>
        </w:rPr>
        <w:t xml:space="preserve">, 152757 (2024). </w:t>
      </w:r>
      <w:hyperlink r:id="rId59" w:history="1">
        <w:r w:rsidR="0083658A" w:rsidRPr="003B7F8D">
          <w:rPr>
            <w:rStyle w:val="Hyperlink"/>
            <w:rFonts w:ascii="Times New Roman" w:eastAsia="DengXian" w:hAnsi="Times New Roman"/>
            <w:kern w:val="2"/>
            <w:sz w:val="24"/>
            <w:szCs w:val="24"/>
            <w:lang w:val="en-US" w:eastAsia="zh-CN"/>
          </w:rPr>
          <w:t>https://doi.org/10.1016/j.cej.2024.152757</w:t>
        </w:r>
      </w:hyperlink>
      <w:r w:rsidR="0083658A">
        <w:rPr>
          <w:rFonts w:ascii="Times New Roman" w:eastAsia="DengXian" w:hAnsi="Times New Roman"/>
          <w:kern w:val="2"/>
          <w:sz w:val="24"/>
          <w:szCs w:val="24"/>
          <w:lang w:val="en-US" w:eastAsia="zh-CN"/>
        </w:rPr>
        <w:t xml:space="preserve"> </w:t>
      </w:r>
    </w:p>
    <w:p w14:paraId="4A4BD99D" w14:textId="49CADDEA" w:rsidR="002534E7" w:rsidRPr="00C95C69" w:rsidRDefault="002534E7" w:rsidP="00256F7F">
      <w:pPr>
        <w:pStyle w:val="ListParagraph"/>
        <w:widowControl w:val="0"/>
        <w:numPr>
          <w:ilvl w:val="0"/>
          <w:numId w:val="5"/>
        </w:numPr>
        <w:spacing w:before="120" w:after="120"/>
        <w:contextualSpacing w:val="0"/>
        <w:rPr>
          <w:rFonts w:ascii="Times New Roman" w:eastAsia="DengXian" w:hAnsi="Times New Roman"/>
          <w:kern w:val="2"/>
          <w:sz w:val="24"/>
          <w:szCs w:val="24"/>
          <w:lang w:val="en-US" w:eastAsia="zh-CN"/>
        </w:rPr>
      </w:pPr>
      <w:r w:rsidRPr="00C95C69">
        <w:rPr>
          <w:rFonts w:ascii="Times New Roman" w:eastAsia="DengXian" w:hAnsi="Times New Roman"/>
          <w:kern w:val="2"/>
          <w:sz w:val="24"/>
          <w:szCs w:val="24"/>
          <w:lang w:val="en-US" w:eastAsia="zh-CN"/>
        </w:rPr>
        <w:t>A. Martínez-Juárez, C. Pecharromán, J.E. Iglesias, J.M. Rojo, Relationship between activation energy and bottleneck size for Li</w:t>
      </w:r>
      <w:r w:rsidRPr="00C95C69">
        <w:rPr>
          <w:rFonts w:ascii="Times New Roman" w:eastAsia="DengXian" w:hAnsi="Times New Roman"/>
          <w:kern w:val="2"/>
          <w:sz w:val="24"/>
          <w:szCs w:val="24"/>
          <w:vertAlign w:val="superscript"/>
          <w:lang w:val="en-US" w:eastAsia="zh-CN"/>
        </w:rPr>
        <w:t>+</w:t>
      </w:r>
      <w:r w:rsidRPr="00C95C69">
        <w:rPr>
          <w:rFonts w:ascii="Times New Roman" w:eastAsia="DengXian" w:hAnsi="Times New Roman"/>
          <w:kern w:val="2"/>
          <w:sz w:val="24"/>
          <w:szCs w:val="24"/>
          <w:lang w:val="en-US" w:eastAsia="zh-CN"/>
        </w:rPr>
        <w:t xml:space="preserve"> ion conduction in NASICON materials of composition LiMM‘(PO4)</w:t>
      </w:r>
      <w:r w:rsidRPr="00C95C69">
        <w:rPr>
          <w:rFonts w:ascii="Times New Roman" w:eastAsia="DengXian" w:hAnsi="Times New Roman"/>
          <w:kern w:val="2"/>
          <w:sz w:val="24"/>
          <w:szCs w:val="24"/>
          <w:vertAlign w:val="subscript"/>
          <w:lang w:val="en-US" w:eastAsia="zh-CN"/>
        </w:rPr>
        <w:t>3</w:t>
      </w:r>
      <w:r w:rsidRPr="00C95C69">
        <w:rPr>
          <w:rFonts w:ascii="Times New Roman" w:eastAsia="DengXian" w:hAnsi="Times New Roman"/>
          <w:kern w:val="2"/>
          <w:sz w:val="24"/>
          <w:szCs w:val="24"/>
          <w:lang w:val="en-US" w:eastAsia="zh-CN"/>
        </w:rPr>
        <w:t xml:space="preserve">; M, M‘= Ge, Ti, Sn, Hf. J. Phys. Chem. B </w:t>
      </w:r>
      <w:r w:rsidRPr="00C95C69">
        <w:rPr>
          <w:rFonts w:ascii="Times New Roman" w:eastAsia="DengXian" w:hAnsi="Times New Roman"/>
          <w:b/>
          <w:kern w:val="2"/>
          <w:sz w:val="24"/>
          <w:szCs w:val="24"/>
          <w:lang w:val="en-US" w:eastAsia="zh-CN"/>
        </w:rPr>
        <w:t>102</w:t>
      </w:r>
      <w:r w:rsidRPr="00C95C69">
        <w:rPr>
          <w:rFonts w:ascii="Times New Roman" w:eastAsia="DengXian" w:hAnsi="Times New Roman"/>
          <w:kern w:val="2"/>
          <w:sz w:val="24"/>
          <w:szCs w:val="24"/>
          <w:lang w:val="en-US" w:eastAsia="zh-CN"/>
        </w:rPr>
        <w:t>(2), 372–375 (1998).</w:t>
      </w:r>
      <w:r w:rsidR="00256F7F">
        <w:rPr>
          <w:rFonts w:ascii="Times New Roman" w:eastAsia="DengXian" w:hAnsi="Times New Roman"/>
          <w:kern w:val="2"/>
          <w:sz w:val="24"/>
          <w:szCs w:val="24"/>
          <w:lang w:val="en-US" w:eastAsia="zh-CN"/>
        </w:rPr>
        <w:t xml:space="preserve"> </w:t>
      </w:r>
      <w:hyperlink r:id="rId60" w:history="1">
        <w:r w:rsidR="00256F7F" w:rsidRPr="003B7F8D">
          <w:rPr>
            <w:rStyle w:val="Hyperlink"/>
            <w:rFonts w:ascii="Times New Roman" w:eastAsia="DengXian" w:hAnsi="Times New Roman"/>
            <w:kern w:val="2"/>
            <w:sz w:val="24"/>
            <w:szCs w:val="24"/>
            <w:lang w:val="en-US" w:eastAsia="zh-CN"/>
          </w:rPr>
          <w:t>https://doi.org/10.1021/jp973296c</w:t>
        </w:r>
      </w:hyperlink>
      <w:r w:rsidR="00256F7F">
        <w:rPr>
          <w:rFonts w:ascii="Times New Roman" w:eastAsia="DengXian" w:hAnsi="Times New Roman"/>
          <w:kern w:val="2"/>
          <w:sz w:val="24"/>
          <w:szCs w:val="24"/>
          <w:lang w:val="en-US" w:eastAsia="zh-CN"/>
        </w:rPr>
        <w:t xml:space="preserve"> </w:t>
      </w:r>
    </w:p>
    <w:p w14:paraId="5AE83007" w14:textId="77777777" w:rsidR="002534E7" w:rsidRPr="00C95C69" w:rsidRDefault="002534E7" w:rsidP="00C95C69">
      <w:pPr>
        <w:widowControl w:val="0"/>
        <w:spacing w:before="120" w:after="120"/>
        <w:ind w:hanging="562"/>
        <w:jc w:val="both"/>
        <w:rPr>
          <w:rFonts w:eastAsia="DengXian"/>
          <w:kern w:val="2"/>
          <w:lang w:val="en-US" w:eastAsia="zh-CN"/>
        </w:rPr>
      </w:pPr>
    </w:p>
    <w:p w14:paraId="05BABE74" w14:textId="77777777" w:rsidR="00547197" w:rsidRDefault="00547197" w:rsidP="00277ACF">
      <w:pPr>
        <w:spacing w:before="120" w:after="120"/>
        <w:jc w:val="both"/>
      </w:pPr>
    </w:p>
    <w:p w14:paraId="68290AD5" w14:textId="77777777" w:rsidR="00547197" w:rsidRDefault="00547197" w:rsidP="00277ACF">
      <w:pPr>
        <w:spacing w:before="120" w:after="120"/>
        <w:jc w:val="both"/>
      </w:pPr>
    </w:p>
    <w:p w14:paraId="5907ED06" w14:textId="7367525E" w:rsidR="00797771" w:rsidRPr="00ED3918" w:rsidRDefault="00797771" w:rsidP="00277ACF">
      <w:pPr>
        <w:spacing w:before="120" w:after="120"/>
        <w:jc w:val="both"/>
      </w:pPr>
    </w:p>
    <w:sectPr w:rsidR="00797771" w:rsidRPr="00ED3918">
      <w:headerReference w:type="default" r:id="rId61"/>
      <w:footerReference w:type="default" r:id="rId6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0ABCC7" w14:textId="77777777" w:rsidR="00AD5979" w:rsidRDefault="00AD5979">
      <w:r>
        <w:separator/>
      </w:r>
    </w:p>
  </w:endnote>
  <w:endnote w:type="continuationSeparator" w:id="0">
    <w:p w14:paraId="33AA952A" w14:textId="77777777" w:rsidR="00AD5979" w:rsidRDefault="00AD5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lgun Gothic">
    <w:altName w:val="맑은 고딕"/>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Yu Mincho">
    <w:altName w:val="Yu Gothic UI"/>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EBB36" w14:textId="034F9E5C" w:rsidR="008C3DC3" w:rsidRPr="00B37CC5" w:rsidRDefault="00ED05B9" w:rsidP="005F42ED">
    <w:pPr>
      <w:pStyle w:val="Footer"/>
      <w:jc w:val="center"/>
      <w:rPr>
        <w:sz w:val="21"/>
        <w:szCs w:val="21"/>
      </w:rPr>
    </w:pPr>
    <w:r w:rsidRPr="00B37CC5">
      <w:rPr>
        <w:sz w:val="21"/>
        <w:szCs w:val="21"/>
        <w:lang w:val="zh-CN" w:eastAsia="zh-CN"/>
      </w:rPr>
      <w:t xml:space="preserve"> </w:t>
    </w:r>
    <w:r w:rsidR="00B37CC5" w:rsidRPr="00B37CC5">
      <w:rPr>
        <w:rFonts w:eastAsiaTheme="minorEastAsia"/>
        <w:sz w:val="21"/>
        <w:szCs w:val="21"/>
        <w:lang w:val="zh-CN" w:eastAsia="zh-CN"/>
      </w:rPr>
      <w:t>S</w:t>
    </w:r>
    <w:r w:rsidRPr="00B37CC5">
      <w:rPr>
        <w:bCs/>
        <w:sz w:val="21"/>
        <w:szCs w:val="21"/>
      </w:rPr>
      <w:fldChar w:fldCharType="begin"/>
    </w:r>
    <w:r w:rsidRPr="00B37CC5">
      <w:rPr>
        <w:bCs/>
        <w:sz w:val="21"/>
        <w:szCs w:val="21"/>
      </w:rPr>
      <w:instrText>PAGE</w:instrText>
    </w:r>
    <w:r w:rsidRPr="00B37CC5">
      <w:rPr>
        <w:bCs/>
        <w:sz w:val="21"/>
        <w:szCs w:val="21"/>
      </w:rPr>
      <w:fldChar w:fldCharType="separate"/>
    </w:r>
    <w:r w:rsidR="00295CE1">
      <w:rPr>
        <w:bCs/>
        <w:noProof/>
        <w:sz w:val="21"/>
        <w:szCs w:val="21"/>
      </w:rPr>
      <w:t>29</w:t>
    </w:r>
    <w:r w:rsidRPr="00B37CC5">
      <w:rPr>
        <w:bCs/>
        <w:sz w:val="21"/>
        <w:szCs w:val="21"/>
      </w:rPr>
      <w:fldChar w:fldCharType="end"/>
    </w:r>
    <w:r w:rsidR="00B37CC5" w:rsidRPr="00B37CC5">
      <w:rPr>
        <w:sz w:val="21"/>
        <w:szCs w:val="21"/>
        <w:lang w:val="zh-CN" w:eastAsia="zh-CN"/>
      </w:rPr>
      <w:t>/</w:t>
    </w:r>
    <w:r w:rsidR="00B37CC5" w:rsidRPr="00B37CC5">
      <w:rPr>
        <w:rFonts w:eastAsiaTheme="minorEastAsia"/>
        <w:sz w:val="21"/>
        <w:szCs w:val="21"/>
        <w:lang w:val="zh-CN" w:eastAsia="zh-CN"/>
      </w:rPr>
      <w:t>S</w:t>
    </w:r>
    <w:r w:rsidRPr="00B37CC5">
      <w:rPr>
        <w:bCs/>
        <w:sz w:val="21"/>
        <w:szCs w:val="21"/>
      </w:rPr>
      <w:fldChar w:fldCharType="begin"/>
    </w:r>
    <w:r w:rsidRPr="00B37CC5">
      <w:rPr>
        <w:bCs/>
        <w:sz w:val="21"/>
        <w:szCs w:val="21"/>
      </w:rPr>
      <w:instrText>NUMPAGES</w:instrText>
    </w:r>
    <w:r w:rsidRPr="00B37CC5">
      <w:rPr>
        <w:bCs/>
        <w:sz w:val="21"/>
        <w:szCs w:val="21"/>
      </w:rPr>
      <w:fldChar w:fldCharType="separate"/>
    </w:r>
    <w:r w:rsidR="00295CE1">
      <w:rPr>
        <w:bCs/>
        <w:noProof/>
        <w:sz w:val="21"/>
        <w:szCs w:val="21"/>
      </w:rPr>
      <w:t>29</w:t>
    </w:r>
    <w:r w:rsidRPr="00B37CC5">
      <w:rPr>
        <w:bCs/>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E2332" w14:textId="77777777" w:rsidR="00AD5979" w:rsidRDefault="00AD5979">
      <w:r>
        <w:separator/>
      </w:r>
    </w:p>
  </w:footnote>
  <w:footnote w:type="continuationSeparator" w:id="0">
    <w:p w14:paraId="1DF4766B" w14:textId="77777777" w:rsidR="00AD5979" w:rsidRDefault="00AD5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EBB34" w14:textId="32A124BE" w:rsidR="008C3DC3" w:rsidRPr="00B37CC5" w:rsidRDefault="0014789D" w:rsidP="00B37CC5">
    <w:pPr>
      <w:pStyle w:val="Header"/>
      <w:tabs>
        <w:tab w:val="left" w:pos="5003"/>
      </w:tabs>
      <w:jc w:val="center"/>
      <w:rPr>
        <w:rFonts w:eastAsiaTheme="minorEastAsia"/>
        <w:lang w:val="en-US" w:eastAsia="zh-CN"/>
      </w:rPr>
    </w:pPr>
    <w:hyperlink r:id="rId1" w:history="1">
      <w:r w:rsidR="00B37CC5" w:rsidRPr="00B37CC5">
        <w:rPr>
          <w:rStyle w:val="Hyperlink"/>
          <w:rFonts w:eastAsiaTheme="minorEastAsia" w:hint="eastAsia"/>
          <w:lang w:val="en-US" w:eastAsia="zh-CN"/>
        </w:rPr>
        <w:t>N</w:t>
      </w:r>
      <w:r w:rsidR="00B37CC5" w:rsidRPr="00B37CC5">
        <w:rPr>
          <w:rStyle w:val="Hyperlink"/>
          <w:rFonts w:eastAsiaTheme="minorEastAsia"/>
          <w:lang w:val="en-US" w:eastAsia="zh-CN"/>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0AC3"/>
    <w:multiLevelType w:val="multilevel"/>
    <w:tmpl w:val="00A30AC3"/>
    <w:lvl w:ilvl="0">
      <w:start w:val="4"/>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7344E5E"/>
    <w:multiLevelType w:val="multilevel"/>
    <w:tmpl w:val="17344E5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E0537DD"/>
    <w:multiLevelType w:val="multilevel"/>
    <w:tmpl w:val="2E0537DD"/>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2BE432B"/>
    <w:multiLevelType w:val="hybridMultilevel"/>
    <w:tmpl w:val="EFBA35BA"/>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16B3509"/>
    <w:multiLevelType w:val="multilevel"/>
    <w:tmpl w:val="516B35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30"/>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yMDKxNDUwNbIwNDBV0lEKTi0uzszPAykwrAUAjshI6CwAAAA="/>
    <w:docVar w:name="commondata" w:val="eyJoZGlkIjoiNzlkZDkzZTQ5YzBiYjEwZWNkYzVjYmM5ZTkzZjU3NDMifQ=="/>
  </w:docVars>
  <w:rsids>
    <w:rsidRoot w:val="002D16A0"/>
    <w:rsid w:val="000003BB"/>
    <w:rsid w:val="0000374D"/>
    <w:rsid w:val="00004A23"/>
    <w:rsid w:val="00006A0A"/>
    <w:rsid w:val="0000703E"/>
    <w:rsid w:val="000112FC"/>
    <w:rsid w:val="000118B0"/>
    <w:rsid w:val="00011F40"/>
    <w:rsid w:val="0001454A"/>
    <w:rsid w:val="0001683C"/>
    <w:rsid w:val="00017038"/>
    <w:rsid w:val="000172E7"/>
    <w:rsid w:val="00020344"/>
    <w:rsid w:val="000214A8"/>
    <w:rsid w:val="00023F64"/>
    <w:rsid w:val="00027FB5"/>
    <w:rsid w:val="000314D2"/>
    <w:rsid w:val="000319CB"/>
    <w:rsid w:val="000327D3"/>
    <w:rsid w:val="0003318F"/>
    <w:rsid w:val="0004094E"/>
    <w:rsid w:val="00040B7B"/>
    <w:rsid w:val="000432E0"/>
    <w:rsid w:val="000437F7"/>
    <w:rsid w:val="00047BC1"/>
    <w:rsid w:val="00050985"/>
    <w:rsid w:val="0005501E"/>
    <w:rsid w:val="000554B3"/>
    <w:rsid w:val="00055883"/>
    <w:rsid w:val="0006044D"/>
    <w:rsid w:val="00062324"/>
    <w:rsid w:val="00063C0E"/>
    <w:rsid w:val="00067256"/>
    <w:rsid w:val="00072EA7"/>
    <w:rsid w:val="00076EAD"/>
    <w:rsid w:val="000801A6"/>
    <w:rsid w:val="0008287E"/>
    <w:rsid w:val="000828A9"/>
    <w:rsid w:val="00083031"/>
    <w:rsid w:val="0008740B"/>
    <w:rsid w:val="000904D3"/>
    <w:rsid w:val="00091838"/>
    <w:rsid w:val="0009183D"/>
    <w:rsid w:val="0009309C"/>
    <w:rsid w:val="00093F1B"/>
    <w:rsid w:val="00097CA5"/>
    <w:rsid w:val="000A1F4B"/>
    <w:rsid w:val="000A21A9"/>
    <w:rsid w:val="000A3E93"/>
    <w:rsid w:val="000A472C"/>
    <w:rsid w:val="000A5773"/>
    <w:rsid w:val="000A682F"/>
    <w:rsid w:val="000B05A0"/>
    <w:rsid w:val="000B33EE"/>
    <w:rsid w:val="000B4293"/>
    <w:rsid w:val="000B773C"/>
    <w:rsid w:val="000B7ACD"/>
    <w:rsid w:val="000C259E"/>
    <w:rsid w:val="000C3E0C"/>
    <w:rsid w:val="000C6252"/>
    <w:rsid w:val="000C6F8A"/>
    <w:rsid w:val="000D2D4B"/>
    <w:rsid w:val="000D33A3"/>
    <w:rsid w:val="000D45F4"/>
    <w:rsid w:val="000D5AB4"/>
    <w:rsid w:val="000D66DB"/>
    <w:rsid w:val="000D7EBA"/>
    <w:rsid w:val="000E788B"/>
    <w:rsid w:val="000E7A5B"/>
    <w:rsid w:val="000E7BBA"/>
    <w:rsid w:val="000F512F"/>
    <w:rsid w:val="001013F4"/>
    <w:rsid w:val="001054D4"/>
    <w:rsid w:val="0010686C"/>
    <w:rsid w:val="00107C5F"/>
    <w:rsid w:val="00107CCC"/>
    <w:rsid w:val="00110011"/>
    <w:rsid w:val="001105BD"/>
    <w:rsid w:val="00111212"/>
    <w:rsid w:val="00114A2D"/>
    <w:rsid w:val="00116C82"/>
    <w:rsid w:val="001170FE"/>
    <w:rsid w:val="00117A91"/>
    <w:rsid w:val="00120E85"/>
    <w:rsid w:val="00123ADA"/>
    <w:rsid w:val="00125573"/>
    <w:rsid w:val="0012642A"/>
    <w:rsid w:val="00126D17"/>
    <w:rsid w:val="00126FE5"/>
    <w:rsid w:val="001305BF"/>
    <w:rsid w:val="00131B9F"/>
    <w:rsid w:val="00131D58"/>
    <w:rsid w:val="001370B1"/>
    <w:rsid w:val="001377CA"/>
    <w:rsid w:val="00140B94"/>
    <w:rsid w:val="001450FB"/>
    <w:rsid w:val="0014658A"/>
    <w:rsid w:val="0014789D"/>
    <w:rsid w:val="00147DB8"/>
    <w:rsid w:val="00151683"/>
    <w:rsid w:val="0015392F"/>
    <w:rsid w:val="0015563E"/>
    <w:rsid w:val="00155F66"/>
    <w:rsid w:val="001560A0"/>
    <w:rsid w:val="0015707F"/>
    <w:rsid w:val="0016390D"/>
    <w:rsid w:val="00164057"/>
    <w:rsid w:val="00164276"/>
    <w:rsid w:val="00165B37"/>
    <w:rsid w:val="00170369"/>
    <w:rsid w:val="00173757"/>
    <w:rsid w:val="00173787"/>
    <w:rsid w:val="00174176"/>
    <w:rsid w:val="00174B99"/>
    <w:rsid w:val="00174DA8"/>
    <w:rsid w:val="00181D92"/>
    <w:rsid w:val="001823B6"/>
    <w:rsid w:val="00182FD6"/>
    <w:rsid w:val="00184400"/>
    <w:rsid w:val="001848EB"/>
    <w:rsid w:val="00187D09"/>
    <w:rsid w:val="00187DB9"/>
    <w:rsid w:val="0019077D"/>
    <w:rsid w:val="0019194D"/>
    <w:rsid w:val="001A4240"/>
    <w:rsid w:val="001A6821"/>
    <w:rsid w:val="001A734D"/>
    <w:rsid w:val="001B4224"/>
    <w:rsid w:val="001B70D8"/>
    <w:rsid w:val="001B7472"/>
    <w:rsid w:val="001C10AC"/>
    <w:rsid w:val="001C37BA"/>
    <w:rsid w:val="001C3C9E"/>
    <w:rsid w:val="001C55FB"/>
    <w:rsid w:val="001D12BC"/>
    <w:rsid w:val="001D279D"/>
    <w:rsid w:val="001D4F2C"/>
    <w:rsid w:val="001D561D"/>
    <w:rsid w:val="001E18CC"/>
    <w:rsid w:val="001E3D2D"/>
    <w:rsid w:val="001E4605"/>
    <w:rsid w:val="001E5F4E"/>
    <w:rsid w:val="001E624A"/>
    <w:rsid w:val="001F2689"/>
    <w:rsid w:val="001F2AB7"/>
    <w:rsid w:val="001F31AD"/>
    <w:rsid w:val="001F3889"/>
    <w:rsid w:val="001F3C9B"/>
    <w:rsid w:val="001F3E77"/>
    <w:rsid w:val="001F4BD1"/>
    <w:rsid w:val="001F5110"/>
    <w:rsid w:val="001F5702"/>
    <w:rsid w:val="001F65A2"/>
    <w:rsid w:val="001F6C41"/>
    <w:rsid w:val="002002FC"/>
    <w:rsid w:val="00201F71"/>
    <w:rsid w:val="00203934"/>
    <w:rsid w:val="0020446B"/>
    <w:rsid w:val="00204BA7"/>
    <w:rsid w:val="002072AB"/>
    <w:rsid w:val="00210140"/>
    <w:rsid w:val="00211942"/>
    <w:rsid w:val="00214D95"/>
    <w:rsid w:val="00215531"/>
    <w:rsid w:val="002162B2"/>
    <w:rsid w:val="00220933"/>
    <w:rsid w:val="00220C72"/>
    <w:rsid w:val="0022540C"/>
    <w:rsid w:val="00226AA4"/>
    <w:rsid w:val="00233C8A"/>
    <w:rsid w:val="00235E7C"/>
    <w:rsid w:val="00236036"/>
    <w:rsid w:val="00240D90"/>
    <w:rsid w:val="00244557"/>
    <w:rsid w:val="002534E7"/>
    <w:rsid w:val="00253CB1"/>
    <w:rsid w:val="002543F9"/>
    <w:rsid w:val="00256F7F"/>
    <w:rsid w:val="00257ADD"/>
    <w:rsid w:val="00257F26"/>
    <w:rsid w:val="00263723"/>
    <w:rsid w:val="00263CF8"/>
    <w:rsid w:val="00264163"/>
    <w:rsid w:val="00265635"/>
    <w:rsid w:val="00266389"/>
    <w:rsid w:val="0026725F"/>
    <w:rsid w:val="002675F7"/>
    <w:rsid w:val="002725A5"/>
    <w:rsid w:val="0027314F"/>
    <w:rsid w:val="00273E17"/>
    <w:rsid w:val="002770B0"/>
    <w:rsid w:val="00277ACF"/>
    <w:rsid w:val="00281BC5"/>
    <w:rsid w:val="0028289F"/>
    <w:rsid w:val="00284157"/>
    <w:rsid w:val="00285631"/>
    <w:rsid w:val="00290D94"/>
    <w:rsid w:val="0029203C"/>
    <w:rsid w:val="00294873"/>
    <w:rsid w:val="00295CE1"/>
    <w:rsid w:val="002A238C"/>
    <w:rsid w:val="002A4A81"/>
    <w:rsid w:val="002A73A2"/>
    <w:rsid w:val="002A7CE8"/>
    <w:rsid w:val="002B0671"/>
    <w:rsid w:val="002B262F"/>
    <w:rsid w:val="002B3553"/>
    <w:rsid w:val="002B5E06"/>
    <w:rsid w:val="002B6BB3"/>
    <w:rsid w:val="002C0CFF"/>
    <w:rsid w:val="002C319F"/>
    <w:rsid w:val="002D09B9"/>
    <w:rsid w:val="002D16A0"/>
    <w:rsid w:val="002D2930"/>
    <w:rsid w:val="002D2DFF"/>
    <w:rsid w:val="002D5BF8"/>
    <w:rsid w:val="002D7ECC"/>
    <w:rsid w:val="002E1339"/>
    <w:rsid w:val="002E1B8F"/>
    <w:rsid w:val="002E2DEF"/>
    <w:rsid w:val="002E30CD"/>
    <w:rsid w:val="002E4E3E"/>
    <w:rsid w:val="002E76B2"/>
    <w:rsid w:val="002E79A2"/>
    <w:rsid w:val="002F4F4B"/>
    <w:rsid w:val="002F55FD"/>
    <w:rsid w:val="002F594C"/>
    <w:rsid w:val="002F7BA9"/>
    <w:rsid w:val="00301984"/>
    <w:rsid w:val="00301B0B"/>
    <w:rsid w:val="00301E84"/>
    <w:rsid w:val="00302E7A"/>
    <w:rsid w:val="00303D1B"/>
    <w:rsid w:val="003046B7"/>
    <w:rsid w:val="0031715A"/>
    <w:rsid w:val="00317A57"/>
    <w:rsid w:val="00320A99"/>
    <w:rsid w:val="0032144B"/>
    <w:rsid w:val="00321D18"/>
    <w:rsid w:val="003227C7"/>
    <w:rsid w:val="00322D5B"/>
    <w:rsid w:val="00325AC2"/>
    <w:rsid w:val="00326A1C"/>
    <w:rsid w:val="00327FDC"/>
    <w:rsid w:val="00330B87"/>
    <w:rsid w:val="003355AE"/>
    <w:rsid w:val="003360E3"/>
    <w:rsid w:val="00337025"/>
    <w:rsid w:val="003371D5"/>
    <w:rsid w:val="003376CD"/>
    <w:rsid w:val="003446FD"/>
    <w:rsid w:val="003452C3"/>
    <w:rsid w:val="003501A7"/>
    <w:rsid w:val="0035048A"/>
    <w:rsid w:val="0036263B"/>
    <w:rsid w:val="00363B62"/>
    <w:rsid w:val="003645B0"/>
    <w:rsid w:val="00364B2C"/>
    <w:rsid w:val="00364F46"/>
    <w:rsid w:val="003664F1"/>
    <w:rsid w:val="00367E3F"/>
    <w:rsid w:val="0037421E"/>
    <w:rsid w:val="00375A3A"/>
    <w:rsid w:val="00377EA5"/>
    <w:rsid w:val="00377F77"/>
    <w:rsid w:val="00383073"/>
    <w:rsid w:val="0038438F"/>
    <w:rsid w:val="00384AC6"/>
    <w:rsid w:val="00387C67"/>
    <w:rsid w:val="00387D98"/>
    <w:rsid w:val="00390B0F"/>
    <w:rsid w:val="00390B38"/>
    <w:rsid w:val="00390B6B"/>
    <w:rsid w:val="00391CFE"/>
    <w:rsid w:val="0039353B"/>
    <w:rsid w:val="00394F9E"/>
    <w:rsid w:val="00395426"/>
    <w:rsid w:val="00395B91"/>
    <w:rsid w:val="00396615"/>
    <w:rsid w:val="0039700D"/>
    <w:rsid w:val="00397089"/>
    <w:rsid w:val="003978A8"/>
    <w:rsid w:val="003A0F30"/>
    <w:rsid w:val="003A4C44"/>
    <w:rsid w:val="003A5AD0"/>
    <w:rsid w:val="003A6CE3"/>
    <w:rsid w:val="003A7899"/>
    <w:rsid w:val="003B15EE"/>
    <w:rsid w:val="003B517D"/>
    <w:rsid w:val="003B60EC"/>
    <w:rsid w:val="003B6AE5"/>
    <w:rsid w:val="003B78A3"/>
    <w:rsid w:val="003C00ED"/>
    <w:rsid w:val="003C1C0A"/>
    <w:rsid w:val="003C35DF"/>
    <w:rsid w:val="003C4A68"/>
    <w:rsid w:val="003C554F"/>
    <w:rsid w:val="003C61DD"/>
    <w:rsid w:val="003D63E7"/>
    <w:rsid w:val="003E05F1"/>
    <w:rsid w:val="003E113B"/>
    <w:rsid w:val="003E5092"/>
    <w:rsid w:val="003E715D"/>
    <w:rsid w:val="003F103E"/>
    <w:rsid w:val="003F2E48"/>
    <w:rsid w:val="003F440C"/>
    <w:rsid w:val="003F525A"/>
    <w:rsid w:val="003F70CB"/>
    <w:rsid w:val="003F7BE6"/>
    <w:rsid w:val="004006A9"/>
    <w:rsid w:val="004052AE"/>
    <w:rsid w:val="004118A5"/>
    <w:rsid w:val="00411DC2"/>
    <w:rsid w:val="00413672"/>
    <w:rsid w:val="00414041"/>
    <w:rsid w:val="00414465"/>
    <w:rsid w:val="00414729"/>
    <w:rsid w:val="00414C80"/>
    <w:rsid w:val="00414F4B"/>
    <w:rsid w:val="00415EF9"/>
    <w:rsid w:val="00416629"/>
    <w:rsid w:val="00417DA1"/>
    <w:rsid w:val="0042070D"/>
    <w:rsid w:val="00420E59"/>
    <w:rsid w:val="00422847"/>
    <w:rsid w:val="00423478"/>
    <w:rsid w:val="00425B76"/>
    <w:rsid w:val="004260A2"/>
    <w:rsid w:val="00426FC6"/>
    <w:rsid w:val="004273BC"/>
    <w:rsid w:val="00427C5F"/>
    <w:rsid w:val="00430134"/>
    <w:rsid w:val="0043414C"/>
    <w:rsid w:val="004507E5"/>
    <w:rsid w:val="004519AD"/>
    <w:rsid w:val="0045459A"/>
    <w:rsid w:val="004545DB"/>
    <w:rsid w:val="004549D7"/>
    <w:rsid w:val="00456F47"/>
    <w:rsid w:val="0045786A"/>
    <w:rsid w:val="00460F76"/>
    <w:rsid w:val="00462F12"/>
    <w:rsid w:val="00463050"/>
    <w:rsid w:val="0046340F"/>
    <w:rsid w:val="00466168"/>
    <w:rsid w:val="00466A8B"/>
    <w:rsid w:val="00470075"/>
    <w:rsid w:val="004714D4"/>
    <w:rsid w:val="00475712"/>
    <w:rsid w:val="00480CCE"/>
    <w:rsid w:val="00482FAA"/>
    <w:rsid w:val="0049075F"/>
    <w:rsid w:val="0049078D"/>
    <w:rsid w:val="00492DA8"/>
    <w:rsid w:val="00494B2D"/>
    <w:rsid w:val="004A0888"/>
    <w:rsid w:val="004A43B6"/>
    <w:rsid w:val="004A70EE"/>
    <w:rsid w:val="004A774E"/>
    <w:rsid w:val="004A7D3E"/>
    <w:rsid w:val="004A7FF9"/>
    <w:rsid w:val="004B23E1"/>
    <w:rsid w:val="004B379D"/>
    <w:rsid w:val="004B440F"/>
    <w:rsid w:val="004B5F0C"/>
    <w:rsid w:val="004B6031"/>
    <w:rsid w:val="004C046E"/>
    <w:rsid w:val="004C1609"/>
    <w:rsid w:val="004C216B"/>
    <w:rsid w:val="004C37A2"/>
    <w:rsid w:val="004C5DD3"/>
    <w:rsid w:val="004C799B"/>
    <w:rsid w:val="004D2D1B"/>
    <w:rsid w:val="004D30F9"/>
    <w:rsid w:val="004D3490"/>
    <w:rsid w:val="004D4A32"/>
    <w:rsid w:val="004D4A74"/>
    <w:rsid w:val="004D5595"/>
    <w:rsid w:val="004D64AB"/>
    <w:rsid w:val="004E7CE8"/>
    <w:rsid w:val="004F131F"/>
    <w:rsid w:val="004F271D"/>
    <w:rsid w:val="004F5090"/>
    <w:rsid w:val="004F5114"/>
    <w:rsid w:val="004F6352"/>
    <w:rsid w:val="004F6D5E"/>
    <w:rsid w:val="004F756C"/>
    <w:rsid w:val="005001FA"/>
    <w:rsid w:val="005019AF"/>
    <w:rsid w:val="0050488D"/>
    <w:rsid w:val="00504D12"/>
    <w:rsid w:val="0050527A"/>
    <w:rsid w:val="0050535A"/>
    <w:rsid w:val="00510C38"/>
    <w:rsid w:val="00511192"/>
    <w:rsid w:val="005118AD"/>
    <w:rsid w:val="00512353"/>
    <w:rsid w:val="005220C2"/>
    <w:rsid w:val="00523369"/>
    <w:rsid w:val="0052398F"/>
    <w:rsid w:val="00524C64"/>
    <w:rsid w:val="00530CBC"/>
    <w:rsid w:val="005321A2"/>
    <w:rsid w:val="00532960"/>
    <w:rsid w:val="00542129"/>
    <w:rsid w:val="00543221"/>
    <w:rsid w:val="00545A73"/>
    <w:rsid w:val="0054667D"/>
    <w:rsid w:val="00546DEB"/>
    <w:rsid w:val="00546F0F"/>
    <w:rsid w:val="00547197"/>
    <w:rsid w:val="005477E7"/>
    <w:rsid w:val="00550159"/>
    <w:rsid w:val="00551429"/>
    <w:rsid w:val="00551897"/>
    <w:rsid w:val="00551FFD"/>
    <w:rsid w:val="00552A0F"/>
    <w:rsid w:val="005534E3"/>
    <w:rsid w:val="005551ED"/>
    <w:rsid w:val="00556419"/>
    <w:rsid w:val="005572B4"/>
    <w:rsid w:val="005572DD"/>
    <w:rsid w:val="00560564"/>
    <w:rsid w:val="00562E2B"/>
    <w:rsid w:val="00564668"/>
    <w:rsid w:val="00570353"/>
    <w:rsid w:val="005715F5"/>
    <w:rsid w:val="0057171E"/>
    <w:rsid w:val="00571EEC"/>
    <w:rsid w:val="00572666"/>
    <w:rsid w:val="0057267E"/>
    <w:rsid w:val="005726BD"/>
    <w:rsid w:val="00574A5A"/>
    <w:rsid w:val="005753B8"/>
    <w:rsid w:val="00583ED5"/>
    <w:rsid w:val="00585C1F"/>
    <w:rsid w:val="00587437"/>
    <w:rsid w:val="00592678"/>
    <w:rsid w:val="00594644"/>
    <w:rsid w:val="00594D91"/>
    <w:rsid w:val="0059526F"/>
    <w:rsid w:val="00596F36"/>
    <w:rsid w:val="005A1741"/>
    <w:rsid w:val="005A235F"/>
    <w:rsid w:val="005A41CA"/>
    <w:rsid w:val="005A751F"/>
    <w:rsid w:val="005A7719"/>
    <w:rsid w:val="005A77C2"/>
    <w:rsid w:val="005B291B"/>
    <w:rsid w:val="005B76C5"/>
    <w:rsid w:val="005B7AF0"/>
    <w:rsid w:val="005B7B8A"/>
    <w:rsid w:val="005C09C6"/>
    <w:rsid w:val="005C1902"/>
    <w:rsid w:val="005C3C57"/>
    <w:rsid w:val="005C458D"/>
    <w:rsid w:val="005C491E"/>
    <w:rsid w:val="005C5E0A"/>
    <w:rsid w:val="005C6C0C"/>
    <w:rsid w:val="005D0C31"/>
    <w:rsid w:val="005D2276"/>
    <w:rsid w:val="005D25FD"/>
    <w:rsid w:val="005D2808"/>
    <w:rsid w:val="005E0858"/>
    <w:rsid w:val="005E2794"/>
    <w:rsid w:val="005E3CBF"/>
    <w:rsid w:val="005E6F9D"/>
    <w:rsid w:val="005E7B5A"/>
    <w:rsid w:val="005F01FC"/>
    <w:rsid w:val="005F0501"/>
    <w:rsid w:val="005F0C89"/>
    <w:rsid w:val="005F139A"/>
    <w:rsid w:val="005F2BEF"/>
    <w:rsid w:val="005F3701"/>
    <w:rsid w:val="005F41DF"/>
    <w:rsid w:val="005F42ED"/>
    <w:rsid w:val="005F4521"/>
    <w:rsid w:val="005F5478"/>
    <w:rsid w:val="006006FC"/>
    <w:rsid w:val="006045BA"/>
    <w:rsid w:val="0060583A"/>
    <w:rsid w:val="00611649"/>
    <w:rsid w:val="00611A0E"/>
    <w:rsid w:val="00614154"/>
    <w:rsid w:val="00614BD3"/>
    <w:rsid w:val="00623A77"/>
    <w:rsid w:val="006256F5"/>
    <w:rsid w:val="0063097B"/>
    <w:rsid w:val="00634002"/>
    <w:rsid w:val="006364B8"/>
    <w:rsid w:val="00636A64"/>
    <w:rsid w:val="00636B93"/>
    <w:rsid w:val="00640122"/>
    <w:rsid w:val="00640550"/>
    <w:rsid w:val="00640E76"/>
    <w:rsid w:val="006414EB"/>
    <w:rsid w:val="0064326A"/>
    <w:rsid w:val="0064337B"/>
    <w:rsid w:val="00644D59"/>
    <w:rsid w:val="00644D5D"/>
    <w:rsid w:val="00646DC7"/>
    <w:rsid w:val="006511FB"/>
    <w:rsid w:val="00651A9D"/>
    <w:rsid w:val="00654DD4"/>
    <w:rsid w:val="00656055"/>
    <w:rsid w:val="00656092"/>
    <w:rsid w:val="0065741C"/>
    <w:rsid w:val="00660B85"/>
    <w:rsid w:val="00662DCE"/>
    <w:rsid w:val="0066331E"/>
    <w:rsid w:val="00664B28"/>
    <w:rsid w:val="00664F6D"/>
    <w:rsid w:val="006650B8"/>
    <w:rsid w:val="00666329"/>
    <w:rsid w:val="006672EE"/>
    <w:rsid w:val="0067011F"/>
    <w:rsid w:val="0067015E"/>
    <w:rsid w:val="0067227F"/>
    <w:rsid w:val="00680453"/>
    <w:rsid w:val="00682526"/>
    <w:rsid w:val="00683555"/>
    <w:rsid w:val="00686F1D"/>
    <w:rsid w:val="00691FC5"/>
    <w:rsid w:val="00692DA1"/>
    <w:rsid w:val="00692F7A"/>
    <w:rsid w:val="00695E06"/>
    <w:rsid w:val="00696315"/>
    <w:rsid w:val="006A0D51"/>
    <w:rsid w:val="006A104B"/>
    <w:rsid w:val="006A1C05"/>
    <w:rsid w:val="006A225B"/>
    <w:rsid w:val="006A30D2"/>
    <w:rsid w:val="006A3CB1"/>
    <w:rsid w:val="006A4536"/>
    <w:rsid w:val="006A5A6A"/>
    <w:rsid w:val="006A5FE3"/>
    <w:rsid w:val="006A6E50"/>
    <w:rsid w:val="006B23B2"/>
    <w:rsid w:val="006B3722"/>
    <w:rsid w:val="006B4845"/>
    <w:rsid w:val="006B635C"/>
    <w:rsid w:val="006C1708"/>
    <w:rsid w:val="006C1C29"/>
    <w:rsid w:val="006C3782"/>
    <w:rsid w:val="006C3CDE"/>
    <w:rsid w:val="006C4745"/>
    <w:rsid w:val="006C721A"/>
    <w:rsid w:val="006D0EE8"/>
    <w:rsid w:val="006D24A6"/>
    <w:rsid w:val="006D3162"/>
    <w:rsid w:val="006D37E7"/>
    <w:rsid w:val="006D5146"/>
    <w:rsid w:val="006D59D6"/>
    <w:rsid w:val="006D5C04"/>
    <w:rsid w:val="006D7508"/>
    <w:rsid w:val="006E0256"/>
    <w:rsid w:val="006E0F2F"/>
    <w:rsid w:val="006E19D7"/>
    <w:rsid w:val="006E71B9"/>
    <w:rsid w:val="006F059A"/>
    <w:rsid w:val="006F39B2"/>
    <w:rsid w:val="006F5384"/>
    <w:rsid w:val="006F6604"/>
    <w:rsid w:val="006F71D8"/>
    <w:rsid w:val="006F7D1A"/>
    <w:rsid w:val="00702D9B"/>
    <w:rsid w:val="0070346C"/>
    <w:rsid w:val="0070412C"/>
    <w:rsid w:val="007051A0"/>
    <w:rsid w:val="00706496"/>
    <w:rsid w:val="00711513"/>
    <w:rsid w:val="00711A12"/>
    <w:rsid w:val="00711F11"/>
    <w:rsid w:val="00713C71"/>
    <w:rsid w:val="007154C4"/>
    <w:rsid w:val="00715DB9"/>
    <w:rsid w:val="007218A0"/>
    <w:rsid w:val="007238AF"/>
    <w:rsid w:val="00725874"/>
    <w:rsid w:val="00726908"/>
    <w:rsid w:val="007270C7"/>
    <w:rsid w:val="00730F3A"/>
    <w:rsid w:val="00735F34"/>
    <w:rsid w:val="00736944"/>
    <w:rsid w:val="00741200"/>
    <w:rsid w:val="00741333"/>
    <w:rsid w:val="00742FF2"/>
    <w:rsid w:val="007435AF"/>
    <w:rsid w:val="00744D6A"/>
    <w:rsid w:val="00746138"/>
    <w:rsid w:val="0074620A"/>
    <w:rsid w:val="00751D50"/>
    <w:rsid w:val="007527D5"/>
    <w:rsid w:val="00752F3C"/>
    <w:rsid w:val="007561FC"/>
    <w:rsid w:val="00761D34"/>
    <w:rsid w:val="00762D2D"/>
    <w:rsid w:val="00763D75"/>
    <w:rsid w:val="00764622"/>
    <w:rsid w:val="00764CAD"/>
    <w:rsid w:val="00765BE5"/>
    <w:rsid w:val="00770FA1"/>
    <w:rsid w:val="00773884"/>
    <w:rsid w:val="00774813"/>
    <w:rsid w:val="00774A36"/>
    <w:rsid w:val="00776EE6"/>
    <w:rsid w:val="0078052A"/>
    <w:rsid w:val="007812FB"/>
    <w:rsid w:val="00784032"/>
    <w:rsid w:val="00784C0D"/>
    <w:rsid w:val="00786E79"/>
    <w:rsid w:val="00787925"/>
    <w:rsid w:val="00790E31"/>
    <w:rsid w:val="00793B87"/>
    <w:rsid w:val="0079566E"/>
    <w:rsid w:val="00796509"/>
    <w:rsid w:val="0079691E"/>
    <w:rsid w:val="00797723"/>
    <w:rsid w:val="00797771"/>
    <w:rsid w:val="007A39AB"/>
    <w:rsid w:val="007A6332"/>
    <w:rsid w:val="007B0F5A"/>
    <w:rsid w:val="007B1EEE"/>
    <w:rsid w:val="007B249B"/>
    <w:rsid w:val="007B6D4D"/>
    <w:rsid w:val="007B7A09"/>
    <w:rsid w:val="007C0F7A"/>
    <w:rsid w:val="007C47A5"/>
    <w:rsid w:val="007D24A9"/>
    <w:rsid w:val="007D27FA"/>
    <w:rsid w:val="007D2C52"/>
    <w:rsid w:val="007D30B5"/>
    <w:rsid w:val="007D6218"/>
    <w:rsid w:val="007D6699"/>
    <w:rsid w:val="007D7E30"/>
    <w:rsid w:val="007E1950"/>
    <w:rsid w:val="007E6419"/>
    <w:rsid w:val="007F29A9"/>
    <w:rsid w:val="007F5858"/>
    <w:rsid w:val="007F6815"/>
    <w:rsid w:val="007F6BA8"/>
    <w:rsid w:val="0080681B"/>
    <w:rsid w:val="0080738C"/>
    <w:rsid w:val="00810B77"/>
    <w:rsid w:val="0081123F"/>
    <w:rsid w:val="00814617"/>
    <w:rsid w:val="00817436"/>
    <w:rsid w:val="008178E7"/>
    <w:rsid w:val="00822726"/>
    <w:rsid w:val="0082542D"/>
    <w:rsid w:val="00827574"/>
    <w:rsid w:val="00827834"/>
    <w:rsid w:val="00832835"/>
    <w:rsid w:val="00833261"/>
    <w:rsid w:val="00835110"/>
    <w:rsid w:val="008351FC"/>
    <w:rsid w:val="0083658A"/>
    <w:rsid w:val="00841B75"/>
    <w:rsid w:val="00841F50"/>
    <w:rsid w:val="0084339D"/>
    <w:rsid w:val="00843A0E"/>
    <w:rsid w:val="00845DFE"/>
    <w:rsid w:val="00846E17"/>
    <w:rsid w:val="00854283"/>
    <w:rsid w:val="008573E3"/>
    <w:rsid w:val="00861E81"/>
    <w:rsid w:val="008645FF"/>
    <w:rsid w:val="00866D42"/>
    <w:rsid w:val="0087030E"/>
    <w:rsid w:val="00870AAC"/>
    <w:rsid w:val="008730DE"/>
    <w:rsid w:val="008734F7"/>
    <w:rsid w:val="00874E9F"/>
    <w:rsid w:val="00877842"/>
    <w:rsid w:val="008806F8"/>
    <w:rsid w:val="008808E2"/>
    <w:rsid w:val="00881456"/>
    <w:rsid w:val="00881ACB"/>
    <w:rsid w:val="008839C7"/>
    <w:rsid w:val="00885FC9"/>
    <w:rsid w:val="00891328"/>
    <w:rsid w:val="00891A47"/>
    <w:rsid w:val="00892809"/>
    <w:rsid w:val="0089370F"/>
    <w:rsid w:val="008939AF"/>
    <w:rsid w:val="00893FED"/>
    <w:rsid w:val="0089449A"/>
    <w:rsid w:val="008948BA"/>
    <w:rsid w:val="00895E48"/>
    <w:rsid w:val="00896687"/>
    <w:rsid w:val="008971F4"/>
    <w:rsid w:val="008A0E7D"/>
    <w:rsid w:val="008A3023"/>
    <w:rsid w:val="008A403F"/>
    <w:rsid w:val="008A6815"/>
    <w:rsid w:val="008B1031"/>
    <w:rsid w:val="008B2303"/>
    <w:rsid w:val="008B34A0"/>
    <w:rsid w:val="008B5740"/>
    <w:rsid w:val="008B72C7"/>
    <w:rsid w:val="008B79F1"/>
    <w:rsid w:val="008C0B84"/>
    <w:rsid w:val="008C3DC3"/>
    <w:rsid w:val="008C41DA"/>
    <w:rsid w:val="008C553A"/>
    <w:rsid w:val="008C588E"/>
    <w:rsid w:val="008C7226"/>
    <w:rsid w:val="008D23E3"/>
    <w:rsid w:val="008D7B80"/>
    <w:rsid w:val="008E4184"/>
    <w:rsid w:val="008E549F"/>
    <w:rsid w:val="008E5F31"/>
    <w:rsid w:val="008E6301"/>
    <w:rsid w:val="008F10BC"/>
    <w:rsid w:val="008F2052"/>
    <w:rsid w:val="008F2307"/>
    <w:rsid w:val="008F26ED"/>
    <w:rsid w:val="008F2A38"/>
    <w:rsid w:val="008F3012"/>
    <w:rsid w:val="008F592B"/>
    <w:rsid w:val="008F7A04"/>
    <w:rsid w:val="00901D14"/>
    <w:rsid w:val="00903775"/>
    <w:rsid w:val="009109F7"/>
    <w:rsid w:val="00912137"/>
    <w:rsid w:val="00912239"/>
    <w:rsid w:val="00915BED"/>
    <w:rsid w:val="00916B64"/>
    <w:rsid w:val="00916C7A"/>
    <w:rsid w:val="0092145D"/>
    <w:rsid w:val="009245DE"/>
    <w:rsid w:val="00924CFD"/>
    <w:rsid w:val="00930762"/>
    <w:rsid w:val="00930C0C"/>
    <w:rsid w:val="00934F4E"/>
    <w:rsid w:val="00936A69"/>
    <w:rsid w:val="00936B81"/>
    <w:rsid w:val="0094438E"/>
    <w:rsid w:val="00944701"/>
    <w:rsid w:val="00950ED1"/>
    <w:rsid w:val="00952A7A"/>
    <w:rsid w:val="0095444E"/>
    <w:rsid w:val="009552F9"/>
    <w:rsid w:val="00955C67"/>
    <w:rsid w:val="00957B65"/>
    <w:rsid w:val="00960AFF"/>
    <w:rsid w:val="00963F62"/>
    <w:rsid w:val="00965EFC"/>
    <w:rsid w:val="009730A2"/>
    <w:rsid w:val="009746C3"/>
    <w:rsid w:val="009747D6"/>
    <w:rsid w:val="009762D2"/>
    <w:rsid w:val="009762F1"/>
    <w:rsid w:val="0097692D"/>
    <w:rsid w:val="009776D2"/>
    <w:rsid w:val="00977EA8"/>
    <w:rsid w:val="00977EE1"/>
    <w:rsid w:val="0098140D"/>
    <w:rsid w:val="00981CED"/>
    <w:rsid w:val="00985278"/>
    <w:rsid w:val="00987225"/>
    <w:rsid w:val="00990870"/>
    <w:rsid w:val="00990DCF"/>
    <w:rsid w:val="009920F5"/>
    <w:rsid w:val="00992B56"/>
    <w:rsid w:val="00992CDA"/>
    <w:rsid w:val="00993342"/>
    <w:rsid w:val="00996CE4"/>
    <w:rsid w:val="009977B0"/>
    <w:rsid w:val="009A0FB3"/>
    <w:rsid w:val="009A16A0"/>
    <w:rsid w:val="009A2AF6"/>
    <w:rsid w:val="009A3F36"/>
    <w:rsid w:val="009A48D8"/>
    <w:rsid w:val="009A6C59"/>
    <w:rsid w:val="009A7878"/>
    <w:rsid w:val="009B0888"/>
    <w:rsid w:val="009B33DF"/>
    <w:rsid w:val="009B4270"/>
    <w:rsid w:val="009B44CC"/>
    <w:rsid w:val="009B4DAE"/>
    <w:rsid w:val="009B5651"/>
    <w:rsid w:val="009B62E4"/>
    <w:rsid w:val="009C4319"/>
    <w:rsid w:val="009C6B43"/>
    <w:rsid w:val="009D109E"/>
    <w:rsid w:val="009D1CD9"/>
    <w:rsid w:val="009D1F28"/>
    <w:rsid w:val="009D4830"/>
    <w:rsid w:val="009D4F62"/>
    <w:rsid w:val="009D797A"/>
    <w:rsid w:val="009D7AB9"/>
    <w:rsid w:val="009E026A"/>
    <w:rsid w:val="009E3B56"/>
    <w:rsid w:val="009E49B5"/>
    <w:rsid w:val="009E551E"/>
    <w:rsid w:val="009E7066"/>
    <w:rsid w:val="009F1EF8"/>
    <w:rsid w:val="009F4604"/>
    <w:rsid w:val="009F4A21"/>
    <w:rsid w:val="009F4B78"/>
    <w:rsid w:val="009F4CF3"/>
    <w:rsid w:val="009F606B"/>
    <w:rsid w:val="009F6E66"/>
    <w:rsid w:val="00A06840"/>
    <w:rsid w:val="00A06EAD"/>
    <w:rsid w:val="00A1293C"/>
    <w:rsid w:val="00A14F9B"/>
    <w:rsid w:val="00A15A57"/>
    <w:rsid w:val="00A167F1"/>
    <w:rsid w:val="00A2085F"/>
    <w:rsid w:val="00A20EC0"/>
    <w:rsid w:val="00A2150B"/>
    <w:rsid w:val="00A215D9"/>
    <w:rsid w:val="00A2292C"/>
    <w:rsid w:val="00A23FC3"/>
    <w:rsid w:val="00A25F1B"/>
    <w:rsid w:val="00A27F0C"/>
    <w:rsid w:val="00A3288D"/>
    <w:rsid w:val="00A329DC"/>
    <w:rsid w:val="00A36FC8"/>
    <w:rsid w:val="00A41135"/>
    <w:rsid w:val="00A41FEB"/>
    <w:rsid w:val="00A44DA6"/>
    <w:rsid w:val="00A50921"/>
    <w:rsid w:val="00A5160D"/>
    <w:rsid w:val="00A51A84"/>
    <w:rsid w:val="00A56CA4"/>
    <w:rsid w:val="00A62A0F"/>
    <w:rsid w:val="00A65F04"/>
    <w:rsid w:val="00A65F2E"/>
    <w:rsid w:val="00A71AD5"/>
    <w:rsid w:val="00A72C67"/>
    <w:rsid w:val="00A8073E"/>
    <w:rsid w:val="00A80883"/>
    <w:rsid w:val="00A81968"/>
    <w:rsid w:val="00A81BED"/>
    <w:rsid w:val="00A82FC6"/>
    <w:rsid w:val="00A83CF8"/>
    <w:rsid w:val="00A86BD7"/>
    <w:rsid w:val="00A92270"/>
    <w:rsid w:val="00A9665E"/>
    <w:rsid w:val="00A976FE"/>
    <w:rsid w:val="00AA10AE"/>
    <w:rsid w:val="00AA329F"/>
    <w:rsid w:val="00AA6748"/>
    <w:rsid w:val="00AA7B6A"/>
    <w:rsid w:val="00AB593E"/>
    <w:rsid w:val="00AB5D37"/>
    <w:rsid w:val="00AB683F"/>
    <w:rsid w:val="00AC4A2E"/>
    <w:rsid w:val="00AD1885"/>
    <w:rsid w:val="00AD1DCA"/>
    <w:rsid w:val="00AD50BA"/>
    <w:rsid w:val="00AD5979"/>
    <w:rsid w:val="00AE02E7"/>
    <w:rsid w:val="00AE0F75"/>
    <w:rsid w:val="00AE2ECD"/>
    <w:rsid w:val="00AE319E"/>
    <w:rsid w:val="00AE3B2C"/>
    <w:rsid w:val="00AE3B4E"/>
    <w:rsid w:val="00AE676F"/>
    <w:rsid w:val="00AE709C"/>
    <w:rsid w:val="00AE7DD9"/>
    <w:rsid w:val="00AF2B38"/>
    <w:rsid w:val="00AF36C7"/>
    <w:rsid w:val="00B004C1"/>
    <w:rsid w:val="00B0144A"/>
    <w:rsid w:val="00B0168B"/>
    <w:rsid w:val="00B03458"/>
    <w:rsid w:val="00B04B8E"/>
    <w:rsid w:val="00B1072F"/>
    <w:rsid w:val="00B15820"/>
    <w:rsid w:val="00B215D8"/>
    <w:rsid w:val="00B2218A"/>
    <w:rsid w:val="00B222C0"/>
    <w:rsid w:val="00B246ED"/>
    <w:rsid w:val="00B24A6F"/>
    <w:rsid w:val="00B26DD0"/>
    <w:rsid w:val="00B27542"/>
    <w:rsid w:val="00B338C8"/>
    <w:rsid w:val="00B341CC"/>
    <w:rsid w:val="00B35321"/>
    <w:rsid w:val="00B35505"/>
    <w:rsid w:val="00B35CB3"/>
    <w:rsid w:val="00B35E0A"/>
    <w:rsid w:val="00B36C89"/>
    <w:rsid w:val="00B37CC5"/>
    <w:rsid w:val="00B40124"/>
    <w:rsid w:val="00B402A6"/>
    <w:rsid w:val="00B40B86"/>
    <w:rsid w:val="00B42E03"/>
    <w:rsid w:val="00B443E2"/>
    <w:rsid w:val="00B46222"/>
    <w:rsid w:val="00B501E3"/>
    <w:rsid w:val="00B531DE"/>
    <w:rsid w:val="00B54092"/>
    <w:rsid w:val="00B5444C"/>
    <w:rsid w:val="00B5568B"/>
    <w:rsid w:val="00B557BF"/>
    <w:rsid w:val="00B55BD6"/>
    <w:rsid w:val="00B55F8E"/>
    <w:rsid w:val="00B56147"/>
    <w:rsid w:val="00B565BF"/>
    <w:rsid w:val="00B5720A"/>
    <w:rsid w:val="00B604A0"/>
    <w:rsid w:val="00B60761"/>
    <w:rsid w:val="00B620A5"/>
    <w:rsid w:val="00B62BB1"/>
    <w:rsid w:val="00B63559"/>
    <w:rsid w:val="00B73979"/>
    <w:rsid w:val="00B751B0"/>
    <w:rsid w:val="00B756DD"/>
    <w:rsid w:val="00B762E0"/>
    <w:rsid w:val="00B86C54"/>
    <w:rsid w:val="00B874C4"/>
    <w:rsid w:val="00B97AA2"/>
    <w:rsid w:val="00B97B8E"/>
    <w:rsid w:val="00BA00A8"/>
    <w:rsid w:val="00BA0378"/>
    <w:rsid w:val="00BA37A4"/>
    <w:rsid w:val="00BA4FB0"/>
    <w:rsid w:val="00BA6138"/>
    <w:rsid w:val="00BB0E70"/>
    <w:rsid w:val="00BB1930"/>
    <w:rsid w:val="00BB3478"/>
    <w:rsid w:val="00BC2247"/>
    <w:rsid w:val="00BC39A3"/>
    <w:rsid w:val="00BC5572"/>
    <w:rsid w:val="00BC6279"/>
    <w:rsid w:val="00BD497C"/>
    <w:rsid w:val="00BD57EE"/>
    <w:rsid w:val="00BE4E8A"/>
    <w:rsid w:val="00BF0D77"/>
    <w:rsid w:val="00BF2A79"/>
    <w:rsid w:val="00BF375F"/>
    <w:rsid w:val="00BF4B4D"/>
    <w:rsid w:val="00C02372"/>
    <w:rsid w:val="00C044C3"/>
    <w:rsid w:val="00C0727E"/>
    <w:rsid w:val="00C10453"/>
    <w:rsid w:val="00C13BCA"/>
    <w:rsid w:val="00C141B9"/>
    <w:rsid w:val="00C158CF"/>
    <w:rsid w:val="00C16518"/>
    <w:rsid w:val="00C1787D"/>
    <w:rsid w:val="00C20317"/>
    <w:rsid w:val="00C20F14"/>
    <w:rsid w:val="00C22B7C"/>
    <w:rsid w:val="00C3184D"/>
    <w:rsid w:val="00C331FD"/>
    <w:rsid w:val="00C34DCB"/>
    <w:rsid w:val="00C36311"/>
    <w:rsid w:val="00C36D0C"/>
    <w:rsid w:val="00C3708D"/>
    <w:rsid w:val="00C4114C"/>
    <w:rsid w:val="00C4138A"/>
    <w:rsid w:val="00C43D03"/>
    <w:rsid w:val="00C440B4"/>
    <w:rsid w:val="00C446F9"/>
    <w:rsid w:val="00C462CB"/>
    <w:rsid w:val="00C46F39"/>
    <w:rsid w:val="00C47AFE"/>
    <w:rsid w:val="00C5067F"/>
    <w:rsid w:val="00C515C3"/>
    <w:rsid w:val="00C51AA2"/>
    <w:rsid w:val="00C52E43"/>
    <w:rsid w:val="00C609C3"/>
    <w:rsid w:val="00C60E16"/>
    <w:rsid w:val="00C61989"/>
    <w:rsid w:val="00C61D54"/>
    <w:rsid w:val="00C624AD"/>
    <w:rsid w:val="00C63109"/>
    <w:rsid w:val="00C65E4E"/>
    <w:rsid w:val="00C66079"/>
    <w:rsid w:val="00C66610"/>
    <w:rsid w:val="00C66648"/>
    <w:rsid w:val="00C66FEF"/>
    <w:rsid w:val="00C70CB4"/>
    <w:rsid w:val="00C727A7"/>
    <w:rsid w:val="00C7285C"/>
    <w:rsid w:val="00C728D5"/>
    <w:rsid w:val="00C75119"/>
    <w:rsid w:val="00C76DD6"/>
    <w:rsid w:val="00C84D7F"/>
    <w:rsid w:val="00C904E5"/>
    <w:rsid w:val="00C90B62"/>
    <w:rsid w:val="00C91C08"/>
    <w:rsid w:val="00C92827"/>
    <w:rsid w:val="00C95235"/>
    <w:rsid w:val="00C95C69"/>
    <w:rsid w:val="00C97F0E"/>
    <w:rsid w:val="00CA06AC"/>
    <w:rsid w:val="00CA0A70"/>
    <w:rsid w:val="00CA1D9E"/>
    <w:rsid w:val="00CA242A"/>
    <w:rsid w:val="00CA27BD"/>
    <w:rsid w:val="00CA2AB6"/>
    <w:rsid w:val="00CA4BCC"/>
    <w:rsid w:val="00CB01D6"/>
    <w:rsid w:val="00CB0367"/>
    <w:rsid w:val="00CB22C4"/>
    <w:rsid w:val="00CB311E"/>
    <w:rsid w:val="00CB6F76"/>
    <w:rsid w:val="00CB71E1"/>
    <w:rsid w:val="00CC0ED3"/>
    <w:rsid w:val="00CC1894"/>
    <w:rsid w:val="00CC2EE2"/>
    <w:rsid w:val="00CC3D03"/>
    <w:rsid w:val="00CC45DB"/>
    <w:rsid w:val="00CC73FF"/>
    <w:rsid w:val="00CD141E"/>
    <w:rsid w:val="00CD45DA"/>
    <w:rsid w:val="00CE2EA4"/>
    <w:rsid w:val="00CE5714"/>
    <w:rsid w:val="00CE6138"/>
    <w:rsid w:val="00CE6F59"/>
    <w:rsid w:val="00CE7AAB"/>
    <w:rsid w:val="00CF2673"/>
    <w:rsid w:val="00CF2DA1"/>
    <w:rsid w:val="00CF43B1"/>
    <w:rsid w:val="00D0614B"/>
    <w:rsid w:val="00D06AD1"/>
    <w:rsid w:val="00D17549"/>
    <w:rsid w:val="00D22A3F"/>
    <w:rsid w:val="00D24D97"/>
    <w:rsid w:val="00D275F5"/>
    <w:rsid w:val="00D376F1"/>
    <w:rsid w:val="00D43CA8"/>
    <w:rsid w:val="00D4523D"/>
    <w:rsid w:val="00D4593F"/>
    <w:rsid w:val="00D45BD4"/>
    <w:rsid w:val="00D4775B"/>
    <w:rsid w:val="00D47AB8"/>
    <w:rsid w:val="00D55D94"/>
    <w:rsid w:val="00D56566"/>
    <w:rsid w:val="00D6261F"/>
    <w:rsid w:val="00D647A4"/>
    <w:rsid w:val="00D6487A"/>
    <w:rsid w:val="00D648BB"/>
    <w:rsid w:val="00D64E04"/>
    <w:rsid w:val="00D65A5E"/>
    <w:rsid w:val="00D65D2A"/>
    <w:rsid w:val="00D65D8F"/>
    <w:rsid w:val="00D66089"/>
    <w:rsid w:val="00D669D1"/>
    <w:rsid w:val="00D7049A"/>
    <w:rsid w:val="00D704F6"/>
    <w:rsid w:val="00D722B1"/>
    <w:rsid w:val="00D73935"/>
    <w:rsid w:val="00D74A82"/>
    <w:rsid w:val="00D753F6"/>
    <w:rsid w:val="00D7737D"/>
    <w:rsid w:val="00D80669"/>
    <w:rsid w:val="00D80897"/>
    <w:rsid w:val="00D81375"/>
    <w:rsid w:val="00D8540E"/>
    <w:rsid w:val="00D85C4D"/>
    <w:rsid w:val="00D8730B"/>
    <w:rsid w:val="00D90099"/>
    <w:rsid w:val="00D9072A"/>
    <w:rsid w:val="00D94852"/>
    <w:rsid w:val="00DA039C"/>
    <w:rsid w:val="00DA10B4"/>
    <w:rsid w:val="00DA13A1"/>
    <w:rsid w:val="00DA6EBE"/>
    <w:rsid w:val="00DB27CC"/>
    <w:rsid w:val="00DB2A54"/>
    <w:rsid w:val="00DB4EF9"/>
    <w:rsid w:val="00DB63A3"/>
    <w:rsid w:val="00DC2890"/>
    <w:rsid w:val="00DC29FE"/>
    <w:rsid w:val="00DC430C"/>
    <w:rsid w:val="00DC60FB"/>
    <w:rsid w:val="00DC7319"/>
    <w:rsid w:val="00DC742E"/>
    <w:rsid w:val="00DD38DC"/>
    <w:rsid w:val="00DD63FF"/>
    <w:rsid w:val="00DE1726"/>
    <w:rsid w:val="00DF1BBF"/>
    <w:rsid w:val="00DF3145"/>
    <w:rsid w:val="00DF4B0E"/>
    <w:rsid w:val="00E01E4B"/>
    <w:rsid w:val="00E02CD9"/>
    <w:rsid w:val="00E062B0"/>
    <w:rsid w:val="00E0711E"/>
    <w:rsid w:val="00E0770C"/>
    <w:rsid w:val="00E14DFA"/>
    <w:rsid w:val="00E17EA5"/>
    <w:rsid w:val="00E229DB"/>
    <w:rsid w:val="00E2571A"/>
    <w:rsid w:val="00E26EDC"/>
    <w:rsid w:val="00E2713C"/>
    <w:rsid w:val="00E278BD"/>
    <w:rsid w:val="00E30B42"/>
    <w:rsid w:val="00E342D7"/>
    <w:rsid w:val="00E351C4"/>
    <w:rsid w:val="00E35C26"/>
    <w:rsid w:val="00E410EA"/>
    <w:rsid w:val="00E41444"/>
    <w:rsid w:val="00E41D5C"/>
    <w:rsid w:val="00E437F7"/>
    <w:rsid w:val="00E445E6"/>
    <w:rsid w:val="00E458DE"/>
    <w:rsid w:val="00E529F9"/>
    <w:rsid w:val="00E544C8"/>
    <w:rsid w:val="00E55017"/>
    <w:rsid w:val="00E55416"/>
    <w:rsid w:val="00E557D1"/>
    <w:rsid w:val="00E56282"/>
    <w:rsid w:val="00E616BF"/>
    <w:rsid w:val="00E64A48"/>
    <w:rsid w:val="00E658AA"/>
    <w:rsid w:val="00E6656A"/>
    <w:rsid w:val="00E70D30"/>
    <w:rsid w:val="00E716BA"/>
    <w:rsid w:val="00E73FEE"/>
    <w:rsid w:val="00E7546E"/>
    <w:rsid w:val="00E75977"/>
    <w:rsid w:val="00E75F2D"/>
    <w:rsid w:val="00E76431"/>
    <w:rsid w:val="00E7686D"/>
    <w:rsid w:val="00E813BA"/>
    <w:rsid w:val="00E8381C"/>
    <w:rsid w:val="00E8590C"/>
    <w:rsid w:val="00E85F76"/>
    <w:rsid w:val="00E878B0"/>
    <w:rsid w:val="00E93590"/>
    <w:rsid w:val="00E94506"/>
    <w:rsid w:val="00E95A7B"/>
    <w:rsid w:val="00E967D6"/>
    <w:rsid w:val="00E969E9"/>
    <w:rsid w:val="00EA01A0"/>
    <w:rsid w:val="00EA155A"/>
    <w:rsid w:val="00EA24D4"/>
    <w:rsid w:val="00EA2851"/>
    <w:rsid w:val="00EA3515"/>
    <w:rsid w:val="00EA55FE"/>
    <w:rsid w:val="00EB0B4F"/>
    <w:rsid w:val="00EB1B59"/>
    <w:rsid w:val="00EB286B"/>
    <w:rsid w:val="00EB30D0"/>
    <w:rsid w:val="00EB4384"/>
    <w:rsid w:val="00EB6065"/>
    <w:rsid w:val="00EC0826"/>
    <w:rsid w:val="00EC4E99"/>
    <w:rsid w:val="00EC5D01"/>
    <w:rsid w:val="00ED05B9"/>
    <w:rsid w:val="00ED07F0"/>
    <w:rsid w:val="00ED255A"/>
    <w:rsid w:val="00ED2A10"/>
    <w:rsid w:val="00ED3A21"/>
    <w:rsid w:val="00ED42FF"/>
    <w:rsid w:val="00ED54F9"/>
    <w:rsid w:val="00ED6982"/>
    <w:rsid w:val="00EE0218"/>
    <w:rsid w:val="00EE0E54"/>
    <w:rsid w:val="00EE1033"/>
    <w:rsid w:val="00EE4ABC"/>
    <w:rsid w:val="00EE71CB"/>
    <w:rsid w:val="00EF24BB"/>
    <w:rsid w:val="00EF2B90"/>
    <w:rsid w:val="00EF32F6"/>
    <w:rsid w:val="00EF4114"/>
    <w:rsid w:val="00EF448F"/>
    <w:rsid w:val="00EF4634"/>
    <w:rsid w:val="00EF472E"/>
    <w:rsid w:val="00EF4A5A"/>
    <w:rsid w:val="00EF4EC4"/>
    <w:rsid w:val="00EF66A9"/>
    <w:rsid w:val="00EF74CE"/>
    <w:rsid w:val="00EF74D8"/>
    <w:rsid w:val="00EF7AC1"/>
    <w:rsid w:val="00F01898"/>
    <w:rsid w:val="00F0261F"/>
    <w:rsid w:val="00F05EE0"/>
    <w:rsid w:val="00F06985"/>
    <w:rsid w:val="00F07DE8"/>
    <w:rsid w:val="00F11F17"/>
    <w:rsid w:val="00F11FFD"/>
    <w:rsid w:val="00F156B3"/>
    <w:rsid w:val="00F15FD8"/>
    <w:rsid w:val="00F21A1A"/>
    <w:rsid w:val="00F2258B"/>
    <w:rsid w:val="00F22813"/>
    <w:rsid w:val="00F22FC8"/>
    <w:rsid w:val="00F25BBD"/>
    <w:rsid w:val="00F26A04"/>
    <w:rsid w:val="00F27F36"/>
    <w:rsid w:val="00F32709"/>
    <w:rsid w:val="00F32B8C"/>
    <w:rsid w:val="00F33383"/>
    <w:rsid w:val="00F33D5B"/>
    <w:rsid w:val="00F344F2"/>
    <w:rsid w:val="00F4030B"/>
    <w:rsid w:val="00F41AD3"/>
    <w:rsid w:val="00F42F65"/>
    <w:rsid w:val="00F444F5"/>
    <w:rsid w:val="00F4602E"/>
    <w:rsid w:val="00F46BCF"/>
    <w:rsid w:val="00F515AF"/>
    <w:rsid w:val="00F52F3C"/>
    <w:rsid w:val="00F53E05"/>
    <w:rsid w:val="00F5550A"/>
    <w:rsid w:val="00F55A56"/>
    <w:rsid w:val="00F56088"/>
    <w:rsid w:val="00F6031D"/>
    <w:rsid w:val="00F61303"/>
    <w:rsid w:val="00F65606"/>
    <w:rsid w:val="00F65CA8"/>
    <w:rsid w:val="00F66614"/>
    <w:rsid w:val="00F67764"/>
    <w:rsid w:val="00F71232"/>
    <w:rsid w:val="00F73273"/>
    <w:rsid w:val="00F74722"/>
    <w:rsid w:val="00F75F45"/>
    <w:rsid w:val="00F82588"/>
    <w:rsid w:val="00F82957"/>
    <w:rsid w:val="00F83BD2"/>
    <w:rsid w:val="00F857CA"/>
    <w:rsid w:val="00F85E92"/>
    <w:rsid w:val="00F87EE0"/>
    <w:rsid w:val="00F900CA"/>
    <w:rsid w:val="00F92C2B"/>
    <w:rsid w:val="00F94241"/>
    <w:rsid w:val="00F945CD"/>
    <w:rsid w:val="00F95ECF"/>
    <w:rsid w:val="00F9792C"/>
    <w:rsid w:val="00F97AAA"/>
    <w:rsid w:val="00FA4AD8"/>
    <w:rsid w:val="00FA4FB2"/>
    <w:rsid w:val="00FB3597"/>
    <w:rsid w:val="00FB53CA"/>
    <w:rsid w:val="00FC3750"/>
    <w:rsid w:val="00FC487C"/>
    <w:rsid w:val="00FC51A5"/>
    <w:rsid w:val="00FC6D8C"/>
    <w:rsid w:val="00FC7383"/>
    <w:rsid w:val="00FD0B36"/>
    <w:rsid w:val="00FD168A"/>
    <w:rsid w:val="00FD3643"/>
    <w:rsid w:val="00FD4F44"/>
    <w:rsid w:val="00FD553C"/>
    <w:rsid w:val="00FD6F5E"/>
    <w:rsid w:val="00FE087D"/>
    <w:rsid w:val="00FE133D"/>
    <w:rsid w:val="00FE1CE4"/>
    <w:rsid w:val="00FE2090"/>
    <w:rsid w:val="00FE359D"/>
    <w:rsid w:val="00FE47EA"/>
    <w:rsid w:val="00FE4D5F"/>
    <w:rsid w:val="00FE7BC4"/>
    <w:rsid w:val="00FF29D4"/>
    <w:rsid w:val="00FF388D"/>
    <w:rsid w:val="07BB67DE"/>
    <w:rsid w:val="10156CA8"/>
    <w:rsid w:val="1844637C"/>
    <w:rsid w:val="2CF379AB"/>
    <w:rsid w:val="3F723C03"/>
    <w:rsid w:val="532A3FBA"/>
    <w:rsid w:val="766210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85EBA90"/>
  <w14:defaultImageDpi w14:val="32767"/>
  <w15:docId w15:val="{A58209C8-072A-49CB-8ABE-D2B93015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MS Mincho"/>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qFormat/>
    <w:rPr>
      <w:sz w:val="20"/>
      <w:szCs w:val="20"/>
      <w:lang w:val="zh-CN"/>
    </w:rPr>
  </w:style>
  <w:style w:type="paragraph" w:styleId="BalloonText">
    <w:name w:val="Balloon Text"/>
    <w:basedOn w:val="Normal"/>
    <w:link w:val="BalloonTextChar"/>
    <w:uiPriority w:val="99"/>
    <w:semiHidden/>
    <w:qFormat/>
    <w:rPr>
      <w:rFonts w:ascii="Tahoma" w:hAnsi="Tahoma" w:cs="Tahoma"/>
      <w:sz w:val="16"/>
      <w:szCs w:val="16"/>
    </w:rPr>
  </w:style>
  <w:style w:type="paragraph" w:styleId="Footer">
    <w:name w:val="footer"/>
    <w:basedOn w:val="Normal"/>
    <w:link w:val="FooterChar"/>
    <w:uiPriority w:val="99"/>
    <w:qFormat/>
    <w:pPr>
      <w:tabs>
        <w:tab w:val="center" w:pos="4536"/>
        <w:tab w:val="right" w:pos="9072"/>
      </w:tabs>
    </w:pPr>
  </w:style>
  <w:style w:type="paragraph" w:styleId="Header">
    <w:name w:val="header"/>
    <w:basedOn w:val="Normal"/>
    <w:link w:val="HeaderChar"/>
    <w:uiPriority w:val="99"/>
    <w:qFormat/>
    <w:pPr>
      <w:tabs>
        <w:tab w:val="center" w:pos="4536"/>
        <w:tab w:val="right" w:pos="9072"/>
      </w:tabs>
    </w:pPr>
    <w:rPr>
      <w:lang w:val="zh-CN"/>
    </w:rPr>
  </w:style>
  <w:style w:type="paragraph" w:styleId="FootnoteText">
    <w:name w:val="footnote text"/>
    <w:basedOn w:val="Normal"/>
    <w:semiHidden/>
    <w:pPr>
      <w:keepLines/>
      <w:widowControl w:val="0"/>
      <w:jc w:val="both"/>
    </w:pPr>
    <w:rPr>
      <w:rFonts w:eastAsia="Times New Roman"/>
      <w:sz w:val="20"/>
      <w:szCs w:val="20"/>
      <w:lang w:val="en-GB" w:eastAsia="ro-RO"/>
    </w:rPr>
  </w:style>
  <w:style w:type="paragraph" w:styleId="CommentSubject">
    <w:name w:val="annotation subject"/>
    <w:basedOn w:val="CommentText"/>
    <w:next w:val="CommentText"/>
    <w:link w:val="CommentSubjectChar"/>
    <w:uiPriority w:val="99"/>
    <w:semiHidden/>
    <w:unhideWhenUsed/>
    <w:rPr>
      <w:b/>
      <w:bCs/>
    </w:rPr>
  </w:style>
  <w:style w:type="character" w:styleId="PageNumber">
    <w:name w:val="page number"/>
  </w:style>
  <w:style w:type="character" w:styleId="Hyperlink">
    <w:name w:val="Hyperlink"/>
    <w:uiPriority w:val="99"/>
    <w:qFormat/>
    <w:rPr>
      <w:color w:val="0000FF"/>
      <w:u w:val="single"/>
    </w:rPr>
  </w:style>
  <w:style w:type="character" w:styleId="CommentReference">
    <w:name w:val="annotation reference"/>
    <w:uiPriority w:val="99"/>
    <w:semiHidden/>
    <w:unhideWhenUsed/>
    <w:qFormat/>
    <w:rPr>
      <w:sz w:val="16"/>
      <w:szCs w:val="16"/>
    </w:rPr>
  </w:style>
  <w:style w:type="paragraph" w:customStyle="1" w:styleId="History">
    <w:name w:val="History"/>
    <w:basedOn w:val="Normal"/>
    <w:pPr>
      <w:spacing w:before="230" w:after="460" w:line="180" w:lineRule="exact"/>
      <w:jc w:val="right"/>
    </w:pPr>
    <w:rPr>
      <w:rFonts w:ascii="Arial" w:hAnsi="Arial"/>
      <w:sz w:val="14"/>
      <w:szCs w:val="16"/>
    </w:rPr>
  </w:style>
  <w:style w:type="paragraph" w:customStyle="1" w:styleId="References">
    <w:name w:val="References"/>
    <w:basedOn w:val="Normal"/>
    <w:pPr>
      <w:spacing w:line="200" w:lineRule="exact"/>
      <w:ind w:left="425" w:hanging="425"/>
      <w:jc w:val="both"/>
    </w:pPr>
    <w:rPr>
      <w:sz w:val="15"/>
      <w:szCs w:val="14"/>
      <w:lang w:val="en-GB"/>
    </w:rPr>
  </w:style>
  <w:style w:type="paragraph" w:customStyle="1" w:styleId="HExperimentalSection">
    <w:name w:val="HExperimental_Section"/>
    <w:basedOn w:val="Normal"/>
    <w:pPr>
      <w:spacing w:before="460" w:after="230" w:line="230" w:lineRule="atLeast"/>
    </w:pPr>
    <w:rPr>
      <w:i/>
      <w:szCs w:val="20"/>
    </w:rPr>
  </w:style>
  <w:style w:type="paragraph" w:customStyle="1" w:styleId="ExperimentalSection">
    <w:name w:val="ExperimentalSection"/>
    <w:basedOn w:val="Normal"/>
    <w:pPr>
      <w:spacing w:after="240" w:line="200" w:lineRule="exact"/>
      <w:ind w:firstLine="170"/>
      <w:jc w:val="both"/>
    </w:pPr>
    <w:rPr>
      <w:sz w:val="16"/>
      <w:szCs w:val="14"/>
      <w:lang w:val="en-GB"/>
    </w:rPr>
  </w:style>
  <w:style w:type="paragraph" w:customStyle="1" w:styleId="FNB">
    <w:name w:val="FNB"/>
    <w:basedOn w:val="Normal"/>
    <w:link w:val="FNBChar"/>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Pr>
      <w:rFonts w:ascii="Times" w:hAnsi="Times"/>
      <w:sz w:val="14"/>
      <w:szCs w:val="3276"/>
      <w:lang w:val="en-GB" w:eastAsia="de-DE" w:bidi="ar-SA"/>
    </w:rPr>
  </w:style>
  <w:style w:type="paragraph" w:customStyle="1" w:styleId="Ack">
    <w:name w:val="Ack"/>
    <w:basedOn w:val="Normal"/>
  </w:style>
  <w:style w:type="paragraph" w:customStyle="1" w:styleId="TableCaption">
    <w:name w:val="TableCaption"/>
    <w:basedOn w:val="Normal"/>
    <w:qFormat/>
    <w:pPr>
      <w:spacing w:after="120" w:line="190" w:lineRule="exact"/>
      <w:jc w:val="both"/>
    </w:pPr>
    <w:rPr>
      <w:rFonts w:ascii="Arial" w:hAnsi="Arial"/>
      <w:sz w:val="16"/>
      <w:szCs w:val="14"/>
      <w:lang w:val="en-GB"/>
    </w:rPr>
  </w:style>
  <w:style w:type="paragraph" w:customStyle="1" w:styleId="TableHead">
    <w:name w:val="TableHead"/>
    <w:basedOn w:val="TableCaption"/>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style>
  <w:style w:type="paragraph" w:customStyle="1" w:styleId="TableFoot">
    <w:name w:val="TableFoot"/>
    <w:basedOn w:val="TableBody"/>
    <w:qFormat/>
    <w:pPr>
      <w:spacing w:before="60" w:after="60"/>
    </w:pPr>
  </w:style>
  <w:style w:type="paragraph" w:customStyle="1" w:styleId="SchemeCaption">
    <w:name w:val="SchemeCaption"/>
    <w:basedOn w:val="Normal"/>
    <w:qFormat/>
    <w:pPr>
      <w:spacing w:before="230" w:after="460" w:line="190" w:lineRule="exact"/>
      <w:jc w:val="both"/>
    </w:pPr>
    <w:rPr>
      <w:rFonts w:ascii="Arial" w:hAnsi="Arial"/>
      <w:sz w:val="16"/>
      <w:szCs w:val="14"/>
      <w:lang w:val="en-GB"/>
    </w:rPr>
  </w:style>
  <w:style w:type="paragraph" w:customStyle="1" w:styleId="STOE">
    <w:name w:val="STOE"/>
    <w:basedOn w:val="Normal"/>
    <w:link w:val="STOEChar1"/>
    <w:qFormat/>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Pr>
      <w:rFonts w:ascii="Times" w:hAnsi="Times"/>
      <w:sz w:val="18"/>
      <w:szCs w:val="3276"/>
      <w:lang w:val="en-GB" w:eastAsia="de-DE" w:bidi="ar-SA"/>
    </w:rPr>
  </w:style>
  <w:style w:type="paragraph" w:customStyle="1" w:styleId="Title1">
    <w:name w:val="Title1"/>
    <w:basedOn w:val="Normal"/>
    <w:rPr>
      <w:b/>
      <w:lang w:val="en-US"/>
    </w:rPr>
  </w:style>
  <w:style w:type="paragraph" w:customStyle="1" w:styleId="AuthorsFull">
    <w:name w:val="Authors Full"/>
    <w:basedOn w:val="Normal"/>
    <w:rPr>
      <w:i/>
      <w:lang w:val="en-US"/>
    </w:rPr>
  </w:style>
  <w:style w:type="paragraph" w:customStyle="1" w:styleId="dedication">
    <w:name w:val="dedication"/>
    <w:basedOn w:val="Normal"/>
    <w:qFormat/>
    <w:rPr>
      <w:i/>
      <w:lang w:val="en-US"/>
    </w:rPr>
  </w:style>
  <w:style w:type="paragraph" w:customStyle="1" w:styleId="Addresses">
    <w:name w:val="Addresses"/>
    <w:basedOn w:val="Normal"/>
    <w:rPr>
      <w:lang w:val="en-US"/>
    </w:rPr>
  </w:style>
  <w:style w:type="paragraph" w:customStyle="1" w:styleId="Acknowledgements">
    <w:name w:val="Acknowledgements"/>
    <w:basedOn w:val="Normal"/>
    <w:qFormat/>
    <w:rPr>
      <w:lang w:val="en-US"/>
    </w:rPr>
  </w:style>
  <w:style w:type="paragraph" w:customStyle="1" w:styleId="Abstract">
    <w:name w:val="Abstract"/>
    <w:basedOn w:val="Normal"/>
    <w:qFormat/>
    <w:pPr>
      <w:spacing w:line="480" w:lineRule="auto"/>
    </w:pPr>
    <w:rPr>
      <w:color w:val="FF0000"/>
      <w:lang w:val="en-US"/>
    </w:rPr>
  </w:style>
  <w:style w:type="paragraph" w:customStyle="1" w:styleId="Head1">
    <w:name w:val="Head 1"/>
    <w:basedOn w:val="Normal"/>
    <w:pPr>
      <w:spacing w:beforeLines="100" w:before="240" w:afterLines="100" w:after="240" w:line="360" w:lineRule="auto"/>
    </w:pPr>
    <w:rPr>
      <w:b/>
      <w:sz w:val="28"/>
      <w:szCs w:val="28"/>
      <w:lang w:val="en-US"/>
    </w:rPr>
  </w:style>
  <w:style w:type="paragraph" w:customStyle="1" w:styleId="Head2">
    <w:name w:val="Head 2"/>
    <w:basedOn w:val="Normal"/>
    <w:qFormat/>
    <w:pPr>
      <w:spacing w:line="360" w:lineRule="auto"/>
    </w:pPr>
    <w:rPr>
      <w:i/>
      <w:lang w:val="en-US"/>
    </w:rPr>
  </w:style>
  <w:style w:type="paragraph" w:customStyle="1" w:styleId="dates">
    <w:name w:val="dates"/>
    <w:basedOn w:val="Normal"/>
    <w:qFormat/>
    <w:pPr>
      <w:jc w:val="right"/>
    </w:pPr>
    <w:rPr>
      <w:lang w:val="en-US"/>
    </w:rPr>
  </w:style>
  <w:style w:type="paragraph" w:customStyle="1" w:styleId="Literature">
    <w:name w:val="Literature"/>
    <w:basedOn w:val="Normal"/>
    <w:qFormat/>
    <w:pPr>
      <w:spacing w:line="480" w:lineRule="auto"/>
    </w:pPr>
  </w:style>
  <w:style w:type="paragraph" w:customStyle="1" w:styleId="Legend">
    <w:name w:val="Legend"/>
    <w:basedOn w:val="Normal"/>
    <w:qFormat/>
    <w:rPr>
      <w:lang w:val="en-US"/>
    </w:rPr>
  </w:style>
  <w:style w:type="paragraph" w:customStyle="1" w:styleId="MainText">
    <w:name w:val="Main Text"/>
    <w:basedOn w:val="Normal"/>
    <w:link w:val="MainTextChar"/>
    <w:qFormat/>
    <w:pPr>
      <w:spacing w:line="480" w:lineRule="auto"/>
    </w:pPr>
    <w:rPr>
      <w:lang w:val="en-US"/>
    </w:rPr>
  </w:style>
  <w:style w:type="paragraph" w:customStyle="1" w:styleId="Tableofcontents">
    <w:name w:val="Table of contents"/>
    <w:basedOn w:val="Normal"/>
    <w:qFormat/>
    <w:rPr>
      <w:lang w:val="en-US"/>
    </w:rPr>
  </w:style>
  <w:style w:type="paragraph" w:customStyle="1" w:styleId="ExperimentalText">
    <w:name w:val="Experimental Text"/>
    <w:basedOn w:val="Normal"/>
    <w:link w:val="ExperimentalTextChar"/>
    <w:qFormat/>
    <w:pPr>
      <w:spacing w:line="480" w:lineRule="auto"/>
    </w:pPr>
    <w:rPr>
      <w:lang w:val="en-US"/>
    </w:rPr>
  </w:style>
  <w:style w:type="character" w:customStyle="1" w:styleId="ExperimentalTextChar">
    <w:name w:val="Experimental Text Char"/>
    <w:link w:val="ExperimentalText"/>
    <w:rPr>
      <w:rFonts w:eastAsia="MS Mincho"/>
      <w:sz w:val="24"/>
      <w:szCs w:val="24"/>
      <w:lang w:val="en-US" w:eastAsia="ja-JP" w:bidi="ar-SA"/>
    </w:rPr>
  </w:style>
  <w:style w:type="character" w:customStyle="1" w:styleId="MainTextChar">
    <w:name w:val="Main Text Char"/>
    <w:link w:val="MainText"/>
    <w:qFormat/>
    <w:rPr>
      <w:rFonts w:eastAsia="MS Mincho"/>
      <w:sz w:val="24"/>
      <w:szCs w:val="24"/>
      <w:lang w:val="en-US" w:eastAsia="ja-JP" w:bidi="ar-SA"/>
    </w:rPr>
  </w:style>
  <w:style w:type="paragraph" w:customStyle="1" w:styleId="Title2">
    <w:name w:val="Title2"/>
    <w:basedOn w:val="Normal"/>
    <w:qFormat/>
    <w:rPr>
      <w:b/>
      <w:lang w:val="en-US"/>
    </w:rPr>
  </w:style>
  <w:style w:type="paragraph" w:customStyle="1" w:styleId="Dedication0">
    <w:name w:val="Dedication"/>
    <w:basedOn w:val="Normal"/>
    <w:qFormat/>
    <w:rPr>
      <w:lang w:val="en-US"/>
    </w:rPr>
  </w:style>
  <w:style w:type="paragraph" w:customStyle="1" w:styleId="Maintext0">
    <w:name w:val="Main text"/>
    <w:basedOn w:val="Normal"/>
    <w:link w:val="MaintextChar0"/>
    <w:qFormat/>
    <w:pPr>
      <w:spacing w:line="480" w:lineRule="auto"/>
    </w:pPr>
    <w:rPr>
      <w:lang w:val="en-US"/>
    </w:rPr>
  </w:style>
  <w:style w:type="character" w:customStyle="1" w:styleId="MaintextChar0">
    <w:name w:val="Main text Char"/>
    <w:link w:val="Maintext0"/>
    <w:qFormat/>
    <w:rPr>
      <w:sz w:val="24"/>
      <w:szCs w:val="24"/>
      <w:lang w:val="en-US" w:eastAsia="ja-JP"/>
    </w:rPr>
  </w:style>
  <w:style w:type="paragraph" w:customStyle="1" w:styleId="Biography">
    <w:name w:val="Biography"/>
    <w:basedOn w:val="Normal"/>
    <w:qFormat/>
    <w:rPr>
      <w:i/>
      <w:lang w:val="en-US"/>
    </w:rPr>
  </w:style>
  <w:style w:type="character" w:customStyle="1" w:styleId="HeaderChar">
    <w:name w:val="Header Char"/>
    <w:link w:val="Header"/>
    <w:uiPriority w:val="99"/>
    <w:qFormat/>
    <w:rPr>
      <w:sz w:val="24"/>
      <w:szCs w:val="24"/>
      <w:lang w:eastAsia="ja-JP"/>
    </w:rPr>
  </w:style>
  <w:style w:type="character" w:customStyle="1" w:styleId="CommentTextChar">
    <w:name w:val="Comment Text Char"/>
    <w:link w:val="CommentText"/>
    <w:uiPriority w:val="99"/>
    <w:qFormat/>
    <w:rPr>
      <w:lang w:eastAsia="ja-JP"/>
    </w:rPr>
  </w:style>
  <w:style w:type="character" w:customStyle="1" w:styleId="CommentSubjectChar">
    <w:name w:val="Comment Subject Char"/>
    <w:link w:val="CommentSubject"/>
    <w:uiPriority w:val="99"/>
    <w:semiHidden/>
    <w:rPr>
      <w:b/>
      <w:bCs/>
      <w:lang w:eastAsia="ja-JP"/>
    </w:rPr>
  </w:style>
  <w:style w:type="character" w:customStyle="1" w:styleId="FooterChar">
    <w:name w:val="Footer Char"/>
    <w:link w:val="Footer"/>
    <w:uiPriority w:val="99"/>
    <w:rPr>
      <w:sz w:val="24"/>
      <w:szCs w:val="24"/>
      <w:lang w:eastAsia="ja-JP"/>
    </w:rPr>
  </w:style>
  <w:style w:type="paragraph" w:customStyle="1" w:styleId="BATitle">
    <w:name w:val="BA_Title"/>
    <w:basedOn w:val="Normal"/>
    <w:next w:val="Normal"/>
    <w:pPr>
      <w:spacing w:before="720" w:after="360" w:line="480" w:lineRule="auto"/>
      <w:jc w:val="center"/>
    </w:pPr>
    <w:rPr>
      <w:rFonts w:eastAsia="SimSun"/>
      <w:sz w:val="44"/>
      <w:szCs w:val="20"/>
      <w:lang w:val="en-US" w:eastAsia="en-US"/>
    </w:rPr>
  </w:style>
  <w:style w:type="paragraph" w:customStyle="1" w:styleId="BCAuthorAddress">
    <w:name w:val="BC_Author_Address"/>
    <w:basedOn w:val="Normal"/>
    <w:next w:val="BIEmailAddress"/>
    <w:qFormat/>
    <w:pPr>
      <w:spacing w:after="240" w:line="480" w:lineRule="auto"/>
      <w:jc w:val="center"/>
    </w:pPr>
    <w:rPr>
      <w:rFonts w:ascii="Times" w:eastAsia="SimSun" w:hAnsi="Times"/>
      <w:szCs w:val="20"/>
      <w:lang w:val="en-US" w:eastAsia="en-US"/>
    </w:rPr>
  </w:style>
  <w:style w:type="paragraph" w:customStyle="1" w:styleId="BIEmailAddress">
    <w:name w:val="BI_Email_Address"/>
    <w:basedOn w:val="Normal"/>
    <w:next w:val="Normal"/>
    <w:pPr>
      <w:spacing w:after="200" w:line="480" w:lineRule="auto"/>
      <w:jc w:val="both"/>
    </w:pPr>
    <w:rPr>
      <w:rFonts w:ascii="Times" w:eastAsia="SimSun" w:hAnsi="Times"/>
      <w:szCs w:val="20"/>
      <w:lang w:val="en-US" w:eastAsia="en-US"/>
    </w:rPr>
  </w:style>
  <w:style w:type="paragraph" w:customStyle="1" w:styleId="FACorrespondingAuthorFootnote">
    <w:name w:val="FA_Corresponding_Author_Footnote"/>
    <w:basedOn w:val="Normal"/>
    <w:next w:val="Normal"/>
    <w:pPr>
      <w:spacing w:after="200" w:line="480" w:lineRule="auto"/>
      <w:jc w:val="both"/>
    </w:pPr>
    <w:rPr>
      <w:rFonts w:ascii="Times" w:eastAsia="SimSun" w:hAnsi="Times"/>
      <w:szCs w:val="20"/>
      <w:lang w:val="en-US" w:eastAsia="en-US"/>
    </w:rPr>
  </w:style>
  <w:style w:type="paragraph" w:customStyle="1" w:styleId="TAMainText">
    <w:name w:val="TA_Main_Text"/>
    <w:basedOn w:val="Normal"/>
    <w:link w:val="TAMainTextChar"/>
    <w:qFormat/>
    <w:pPr>
      <w:spacing w:line="480" w:lineRule="auto"/>
      <w:ind w:firstLine="202"/>
      <w:jc w:val="both"/>
    </w:pPr>
    <w:rPr>
      <w:rFonts w:ascii="Times" w:eastAsia="SimSun" w:hAnsi="Times"/>
      <w:szCs w:val="20"/>
      <w:lang w:val="en-US" w:eastAsia="en-US"/>
    </w:rPr>
  </w:style>
  <w:style w:type="character" w:customStyle="1" w:styleId="TAMainTextChar">
    <w:name w:val="TA_Main_Text Char"/>
    <w:link w:val="TAMainText"/>
    <w:qFormat/>
    <w:rPr>
      <w:rFonts w:ascii="Times" w:eastAsia="SimSun" w:hAnsi="Times"/>
      <w:sz w:val="24"/>
      <w:lang w:eastAsia="en-US"/>
    </w:rPr>
  </w:style>
  <w:style w:type="paragraph" w:customStyle="1" w:styleId="VAFigureCaption">
    <w:name w:val="VA_Figure_Caption"/>
    <w:basedOn w:val="Normal"/>
    <w:next w:val="Normal"/>
    <w:qFormat/>
    <w:pPr>
      <w:spacing w:after="200" w:line="480" w:lineRule="auto"/>
      <w:jc w:val="both"/>
    </w:pPr>
    <w:rPr>
      <w:rFonts w:ascii="Times" w:eastAsia="SimSun" w:hAnsi="Times"/>
      <w:szCs w:val="20"/>
      <w:lang w:val="en-US" w:eastAsia="en-US"/>
    </w:rPr>
  </w:style>
  <w:style w:type="paragraph" w:customStyle="1" w:styleId="TFReferencesSection">
    <w:name w:val="TF_References_Section"/>
    <w:basedOn w:val="Normal"/>
    <w:pPr>
      <w:spacing w:after="200" w:line="480" w:lineRule="auto"/>
      <w:ind w:firstLine="187"/>
      <w:jc w:val="both"/>
    </w:pPr>
    <w:rPr>
      <w:rFonts w:ascii="Times" w:eastAsia="SimSun" w:hAnsi="Times"/>
      <w:szCs w:val="20"/>
      <w:lang w:val="en-US" w:eastAsia="en-US"/>
    </w:rPr>
  </w:style>
  <w:style w:type="paragraph" w:styleId="ListParagraph">
    <w:name w:val="List Paragraph"/>
    <w:basedOn w:val="Normal"/>
    <w:uiPriority w:val="34"/>
    <w:qFormat/>
    <w:pPr>
      <w:ind w:left="720"/>
      <w:contextualSpacing/>
      <w:jc w:val="both"/>
    </w:pPr>
    <w:rPr>
      <w:rFonts w:ascii="Calibri" w:eastAsia="Calibri" w:hAnsi="Calibri"/>
      <w:sz w:val="22"/>
      <w:szCs w:val="22"/>
      <w:lang w:val="en-AU" w:eastAsia="en-US"/>
    </w:rPr>
  </w:style>
  <w:style w:type="character" w:customStyle="1" w:styleId="1">
    <w:name w:val="未处理的提及1"/>
    <w:uiPriority w:val="99"/>
    <w:semiHidden/>
    <w:unhideWhenUsed/>
    <w:rPr>
      <w:color w:val="605E5C"/>
      <w:shd w:val="clear" w:color="auto" w:fill="E1DFDD"/>
    </w:rPr>
  </w:style>
  <w:style w:type="paragraph" w:customStyle="1" w:styleId="EndNoteBibliography">
    <w:name w:val="EndNote Bibliography"/>
    <w:basedOn w:val="Normal"/>
    <w:qFormat/>
    <w:rsid w:val="00375A3A"/>
    <w:pPr>
      <w:jc w:val="both"/>
    </w:pPr>
    <w:rPr>
      <w:rFonts w:eastAsia="SimSun"/>
      <w:kern w:val="2"/>
      <w:sz w:val="20"/>
      <w:lang w:val="en-US" w:eastAsia="zh-CN"/>
    </w:rPr>
  </w:style>
  <w:style w:type="table" w:styleId="PlainTable2">
    <w:name w:val="Plain Table 2"/>
    <w:basedOn w:val="TableNormal"/>
    <w:uiPriority w:val="42"/>
    <w:rsid w:val="00797771"/>
    <w:rPr>
      <w:rFonts w:asciiTheme="minorHAnsi" w:eastAsiaTheme="minorEastAsia" w:hAnsiTheme="minorHAnsi" w:cstheme="minorBidi"/>
      <w:sz w:val="22"/>
      <w:szCs w:val="22"/>
      <w:lang w:eastAsia="ko-K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jxassistivemathml">
    <w:name w:val="mjx_assistive_mathml"/>
    <w:basedOn w:val="DefaultParagraphFont"/>
    <w:rsid w:val="00797771"/>
  </w:style>
  <w:style w:type="character" w:styleId="Strong">
    <w:name w:val="Strong"/>
    <w:basedOn w:val="DefaultParagraphFont"/>
    <w:uiPriority w:val="22"/>
    <w:qFormat/>
    <w:rsid w:val="00797771"/>
    <w:rPr>
      <w:b/>
      <w:bCs/>
    </w:rPr>
  </w:style>
  <w:style w:type="character" w:styleId="Emphasis">
    <w:name w:val="Emphasis"/>
    <w:basedOn w:val="DefaultParagraphFont"/>
    <w:uiPriority w:val="20"/>
    <w:qFormat/>
    <w:rsid w:val="00797771"/>
    <w:rPr>
      <w:i/>
      <w:iCs/>
    </w:rPr>
  </w:style>
  <w:style w:type="character" w:customStyle="1" w:styleId="anchor-text">
    <w:name w:val="anchor-text"/>
    <w:basedOn w:val="DefaultParagraphFont"/>
    <w:rsid w:val="00797771"/>
  </w:style>
  <w:style w:type="character" w:styleId="PlaceholderText">
    <w:name w:val="Placeholder Text"/>
    <w:basedOn w:val="DefaultParagraphFont"/>
    <w:uiPriority w:val="99"/>
    <w:semiHidden/>
    <w:rsid w:val="00797771"/>
    <w:rPr>
      <w:color w:val="808080"/>
    </w:rPr>
  </w:style>
  <w:style w:type="character" w:customStyle="1" w:styleId="BalloonTextChar">
    <w:name w:val="Balloon Text Char"/>
    <w:basedOn w:val="DefaultParagraphFont"/>
    <w:link w:val="BalloonText"/>
    <w:uiPriority w:val="99"/>
    <w:semiHidden/>
    <w:rsid w:val="00797771"/>
    <w:rPr>
      <w:rFonts w:ascii="Tahoma" w:eastAsia="MS Mincho" w:hAnsi="Tahoma" w:cs="Tahoma"/>
      <w:sz w:val="16"/>
      <w:szCs w:val="16"/>
      <w:lang w:val="de-DE" w:eastAsia="ja-JP"/>
    </w:rPr>
  </w:style>
  <w:style w:type="paragraph" w:styleId="NormalWeb">
    <w:name w:val="Normal (Web)"/>
    <w:basedOn w:val="Normal"/>
    <w:uiPriority w:val="99"/>
    <w:unhideWhenUsed/>
    <w:rsid w:val="00797771"/>
    <w:pPr>
      <w:spacing w:before="100" w:beforeAutospacing="1" w:after="100" w:afterAutospacing="1"/>
    </w:pPr>
    <w:rPr>
      <w:rFonts w:eastAsia="Times New Roman"/>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53221">
      <w:bodyDiv w:val="1"/>
      <w:marLeft w:val="0"/>
      <w:marRight w:val="0"/>
      <w:marTop w:val="0"/>
      <w:marBottom w:val="0"/>
      <w:divBdr>
        <w:top w:val="none" w:sz="0" w:space="0" w:color="auto"/>
        <w:left w:val="none" w:sz="0" w:space="0" w:color="auto"/>
        <w:bottom w:val="none" w:sz="0" w:space="0" w:color="auto"/>
        <w:right w:val="none" w:sz="0" w:space="0" w:color="auto"/>
      </w:divBdr>
    </w:div>
    <w:div w:id="130172561">
      <w:bodyDiv w:val="1"/>
      <w:marLeft w:val="0"/>
      <w:marRight w:val="0"/>
      <w:marTop w:val="0"/>
      <w:marBottom w:val="0"/>
      <w:divBdr>
        <w:top w:val="none" w:sz="0" w:space="0" w:color="auto"/>
        <w:left w:val="none" w:sz="0" w:space="0" w:color="auto"/>
        <w:bottom w:val="none" w:sz="0" w:space="0" w:color="auto"/>
        <w:right w:val="none" w:sz="0" w:space="0" w:color="auto"/>
      </w:divBdr>
    </w:div>
    <w:div w:id="151332129">
      <w:bodyDiv w:val="1"/>
      <w:marLeft w:val="0"/>
      <w:marRight w:val="0"/>
      <w:marTop w:val="0"/>
      <w:marBottom w:val="0"/>
      <w:divBdr>
        <w:top w:val="none" w:sz="0" w:space="0" w:color="auto"/>
        <w:left w:val="none" w:sz="0" w:space="0" w:color="auto"/>
        <w:bottom w:val="none" w:sz="0" w:space="0" w:color="auto"/>
        <w:right w:val="none" w:sz="0" w:space="0" w:color="auto"/>
      </w:divBdr>
    </w:div>
    <w:div w:id="195313622">
      <w:bodyDiv w:val="1"/>
      <w:marLeft w:val="0"/>
      <w:marRight w:val="0"/>
      <w:marTop w:val="0"/>
      <w:marBottom w:val="0"/>
      <w:divBdr>
        <w:top w:val="none" w:sz="0" w:space="0" w:color="auto"/>
        <w:left w:val="none" w:sz="0" w:space="0" w:color="auto"/>
        <w:bottom w:val="none" w:sz="0" w:space="0" w:color="auto"/>
        <w:right w:val="none" w:sz="0" w:space="0" w:color="auto"/>
      </w:divBdr>
    </w:div>
    <w:div w:id="298343065">
      <w:bodyDiv w:val="1"/>
      <w:marLeft w:val="0"/>
      <w:marRight w:val="0"/>
      <w:marTop w:val="0"/>
      <w:marBottom w:val="0"/>
      <w:divBdr>
        <w:top w:val="none" w:sz="0" w:space="0" w:color="auto"/>
        <w:left w:val="none" w:sz="0" w:space="0" w:color="auto"/>
        <w:bottom w:val="none" w:sz="0" w:space="0" w:color="auto"/>
        <w:right w:val="none" w:sz="0" w:space="0" w:color="auto"/>
      </w:divBdr>
    </w:div>
    <w:div w:id="417143571">
      <w:bodyDiv w:val="1"/>
      <w:marLeft w:val="0"/>
      <w:marRight w:val="0"/>
      <w:marTop w:val="0"/>
      <w:marBottom w:val="0"/>
      <w:divBdr>
        <w:top w:val="none" w:sz="0" w:space="0" w:color="auto"/>
        <w:left w:val="none" w:sz="0" w:space="0" w:color="auto"/>
        <w:bottom w:val="none" w:sz="0" w:space="0" w:color="auto"/>
        <w:right w:val="none" w:sz="0" w:space="0" w:color="auto"/>
      </w:divBdr>
    </w:div>
    <w:div w:id="472526567">
      <w:bodyDiv w:val="1"/>
      <w:marLeft w:val="0"/>
      <w:marRight w:val="0"/>
      <w:marTop w:val="0"/>
      <w:marBottom w:val="0"/>
      <w:divBdr>
        <w:top w:val="none" w:sz="0" w:space="0" w:color="auto"/>
        <w:left w:val="none" w:sz="0" w:space="0" w:color="auto"/>
        <w:bottom w:val="none" w:sz="0" w:space="0" w:color="auto"/>
        <w:right w:val="none" w:sz="0" w:space="0" w:color="auto"/>
      </w:divBdr>
    </w:div>
    <w:div w:id="752629574">
      <w:bodyDiv w:val="1"/>
      <w:marLeft w:val="0"/>
      <w:marRight w:val="0"/>
      <w:marTop w:val="0"/>
      <w:marBottom w:val="0"/>
      <w:divBdr>
        <w:top w:val="none" w:sz="0" w:space="0" w:color="auto"/>
        <w:left w:val="none" w:sz="0" w:space="0" w:color="auto"/>
        <w:bottom w:val="none" w:sz="0" w:space="0" w:color="auto"/>
        <w:right w:val="none" w:sz="0" w:space="0" w:color="auto"/>
      </w:divBdr>
    </w:div>
    <w:div w:id="791243255">
      <w:bodyDiv w:val="1"/>
      <w:marLeft w:val="0"/>
      <w:marRight w:val="0"/>
      <w:marTop w:val="0"/>
      <w:marBottom w:val="0"/>
      <w:divBdr>
        <w:top w:val="none" w:sz="0" w:space="0" w:color="auto"/>
        <w:left w:val="none" w:sz="0" w:space="0" w:color="auto"/>
        <w:bottom w:val="none" w:sz="0" w:space="0" w:color="auto"/>
        <w:right w:val="none" w:sz="0" w:space="0" w:color="auto"/>
      </w:divBdr>
    </w:div>
    <w:div w:id="865677382">
      <w:bodyDiv w:val="1"/>
      <w:marLeft w:val="0"/>
      <w:marRight w:val="0"/>
      <w:marTop w:val="0"/>
      <w:marBottom w:val="0"/>
      <w:divBdr>
        <w:top w:val="none" w:sz="0" w:space="0" w:color="auto"/>
        <w:left w:val="none" w:sz="0" w:space="0" w:color="auto"/>
        <w:bottom w:val="none" w:sz="0" w:space="0" w:color="auto"/>
        <w:right w:val="none" w:sz="0" w:space="0" w:color="auto"/>
      </w:divBdr>
    </w:div>
    <w:div w:id="886455400">
      <w:bodyDiv w:val="1"/>
      <w:marLeft w:val="0"/>
      <w:marRight w:val="0"/>
      <w:marTop w:val="0"/>
      <w:marBottom w:val="0"/>
      <w:divBdr>
        <w:top w:val="none" w:sz="0" w:space="0" w:color="auto"/>
        <w:left w:val="none" w:sz="0" w:space="0" w:color="auto"/>
        <w:bottom w:val="none" w:sz="0" w:space="0" w:color="auto"/>
        <w:right w:val="none" w:sz="0" w:space="0" w:color="auto"/>
      </w:divBdr>
      <w:divsChild>
        <w:div w:id="1236209280">
          <w:marLeft w:val="640"/>
          <w:marRight w:val="0"/>
          <w:marTop w:val="0"/>
          <w:marBottom w:val="0"/>
          <w:divBdr>
            <w:top w:val="none" w:sz="0" w:space="0" w:color="auto"/>
            <w:left w:val="none" w:sz="0" w:space="0" w:color="auto"/>
            <w:bottom w:val="none" w:sz="0" w:space="0" w:color="auto"/>
            <w:right w:val="none" w:sz="0" w:space="0" w:color="auto"/>
          </w:divBdr>
        </w:div>
        <w:div w:id="1265531463">
          <w:marLeft w:val="640"/>
          <w:marRight w:val="0"/>
          <w:marTop w:val="0"/>
          <w:marBottom w:val="0"/>
          <w:divBdr>
            <w:top w:val="none" w:sz="0" w:space="0" w:color="auto"/>
            <w:left w:val="none" w:sz="0" w:space="0" w:color="auto"/>
            <w:bottom w:val="none" w:sz="0" w:space="0" w:color="auto"/>
            <w:right w:val="none" w:sz="0" w:space="0" w:color="auto"/>
          </w:divBdr>
        </w:div>
        <w:div w:id="738283676">
          <w:marLeft w:val="640"/>
          <w:marRight w:val="0"/>
          <w:marTop w:val="0"/>
          <w:marBottom w:val="0"/>
          <w:divBdr>
            <w:top w:val="none" w:sz="0" w:space="0" w:color="auto"/>
            <w:left w:val="none" w:sz="0" w:space="0" w:color="auto"/>
            <w:bottom w:val="none" w:sz="0" w:space="0" w:color="auto"/>
            <w:right w:val="none" w:sz="0" w:space="0" w:color="auto"/>
          </w:divBdr>
        </w:div>
        <w:div w:id="54355868">
          <w:marLeft w:val="640"/>
          <w:marRight w:val="0"/>
          <w:marTop w:val="0"/>
          <w:marBottom w:val="0"/>
          <w:divBdr>
            <w:top w:val="none" w:sz="0" w:space="0" w:color="auto"/>
            <w:left w:val="none" w:sz="0" w:space="0" w:color="auto"/>
            <w:bottom w:val="none" w:sz="0" w:space="0" w:color="auto"/>
            <w:right w:val="none" w:sz="0" w:space="0" w:color="auto"/>
          </w:divBdr>
        </w:div>
        <w:div w:id="1927300536">
          <w:marLeft w:val="640"/>
          <w:marRight w:val="0"/>
          <w:marTop w:val="0"/>
          <w:marBottom w:val="0"/>
          <w:divBdr>
            <w:top w:val="none" w:sz="0" w:space="0" w:color="auto"/>
            <w:left w:val="none" w:sz="0" w:space="0" w:color="auto"/>
            <w:bottom w:val="none" w:sz="0" w:space="0" w:color="auto"/>
            <w:right w:val="none" w:sz="0" w:space="0" w:color="auto"/>
          </w:divBdr>
        </w:div>
        <w:div w:id="1298729012">
          <w:marLeft w:val="640"/>
          <w:marRight w:val="0"/>
          <w:marTop w:val="0"/>
          <w:marBottom w:val="0"/>
          <w:divBdr>
            <w:top w:val="none" w:sz="0" w:space="0" w:color="auto"/>
            <w:left w:val="none" w:sz="0" w:space="0" w:color="auto"/>
            <w:bottom w:val="none" w:sz="0" w:space="0" w:color="auto"/>
            <w:right w:val="none" w:sz="0" w:space="0" w:color="auto"/>
          </w:divBdr>
        </w:div>
        <w:div w:id="853541364">
          <w:marLeft w:val="640"/>
          <w:marRight w:val="0"/>
          <w:marTop w:val="0"/>
          <w:marBottom w:val="0"/>
          <w:divBdr>
            <w:top w:val="none" w:sz="0" w:space="0" w:color="auto"/>
            <w:left w:val="none" w:sz="0" w:space="0" w:color="auto"/>
            <w:bottom w:val="none" w:sz="0" w:space="0" w:color="auto"/>
            <w:right w:val="none" w:sz="0" w:space="0" w:color="auto"/>
          </w:divBdr>
        </w:div>
        <w:div w:id="33892582">
          <w:marLeft w:val="640"/>
          <w:marRight w:val="0"/>
          <w:marTop w:val="0"/>
          <w:marBottom w:val="0"/>
          <w:divBdr>
            <w:top w:val="none" w:sz="0" w:space="0" w:color="auto"/>
            <w:left w:val="none" w:sz="0" w:space="0" w:color="auto"/>
            <w:bottom w:val="none" w:sz="0" w:space="0" w:color="auto"/>
            <w:right w:val="none" w:sz="0" w:space="0" w:color="auto"/>
          </w:divBdr>
        </w:div>
        <w:div w:id="582566831">
          <w:marLeft w:val="640"/>
          <w:marRight w:val="0"/>
          <w:marTop w:val="0"/>
          <w:marBottom w:val="0"/>
          <w:divBdr>
            <w:top w:val="none" w:sz="0" w:space="0" w:color="auto"/>
            <w:left w:val="none" w:sz="0" w:space="0" w:color="auto"/>
            <w:bottom w:val="none" w:sz="0" w:space="0" w:color="auto"/>
            <w:right w:val="none" w:sz="0" w:space="0" w:color="auto"/>
          </w:divBdr>
        </w:div>
        <w:div w:id="555509518">
          <w:marLeft w:val="640"/>
          <w:marRight w:val="0"/>
          <w:marTop w:val="0"/>
          <w:marBottom w:val="0"/>
          <w:divBdr>
            <w:top w:val="none" w:sz="0" w:space="0" w:color="auto"/>
            <w:left w:val="none" w:sz="0" w:space="0" w:color="auto"/>
            <w:bottom w:val="none" w:sz="0" w:space="0" w:color="auto"/>
            <w:right w:val="none" w:sz="0" w:space="0" w:color="auto"/>
          </w:divBdr>
        </w:div>
        <w:div w:id="567494357">
          <w:marLeft w:val="640"/>
          <w:marRight w:val="0"/>
          <w:marTop w:val="0"/>
          <w:marBottom w:val="0"/>
          <w:divBdr>
            <w:top w:val="none" w:sz="0" w:space="0" w:color="auto"/>
            <w:left w:val="none" w:sz="0" w:space="0" w:color="auto"/>
            <w:bottom w:val="none" w:sz="0" w:space="0" w:color="auto"/>
            <w:right w:val="none" w:sz="0" w:space="0" w:color="auto"/>
          </w:divBdr>
        </w:div>
        <w:div w:id="145318565">
          <w:marLeft w:val="640"/>
          <w:marRight w:val="0"/>
          <w:marTop w:val="0"/>
          <w:marBottom w:val="0"/>
          <w:divBdr>
            <w:top w:val="none" w:sz="0" w:space="0" w:color="auto"/>
            <w:left w:val="none" w:sz="0" w:space="0" w:color="auto"/>
            <w:bottom w:val="none" w:sz="0" w:space="0" w:color="auto"/>
            <w:right w:val="none" w:sz="0" w:space="0" w:color="auto"/>
          </w:divBdr>
        </w:div>
        <w:div w:id="1868058729">
          <w:marLeft w:val="640"/>
          <w:marRight w:val="0"/>
          <w:marTop w:val="0"/>
          <w:marBottom w:val="0"/>
          <w:divBdr>
            <w:top w:val="none" w:sz="0" w:space="0" w:color="auto"/>
            <w:left w:val="none" w:sz="0" w:space="0" w:color="auto"/>
            <w:bottom w:val="none" w:sz="0" w:space="0" w:color="auto"/>
            <w:right w:val="none" w:sz="0" w:space="0" w:color="auto"/>
          </w:divBdr>
        </w:div>
        <w:div w:id="1493915067">
          <w:marLeft w:val="640"/>
          <w:marRight w:val="0"/>
          <w:marTop w:val="0"/>
          <w:marBottom w:val="0"/>
          <w:divBdr>
            <w:top w:val="none" w:sz="0" w:space="0" w:color="auto"/>
            <w:left w:val="none" w:sz="0" w:space="0" w:color="auto"/>
            <w:bottom w:val="none" w:sz="0" w:space="0" w:color="auto"/>
            <w:right w:val="none" w:sz="0" w:space="0" w:color="auto"/>
          </w:divBdr>
        </w:div>
        <w:div w:id="212690927">
          <w:marLeft w:val="640"/>
          <w:marRight w:val="0"/>
          <w:marTop w:val="0"/>
          <w:marBottom w:val="0"/>
          <w:divBdr>
            <w:top w:val="none" w:sz="0" w:space="0" w:color="auto"/>
            <w:left w:val="none" w:sz="0" w:space="0" w:color="auto"/>
            <w:bottom w:val="none" w:sz="0" w:space="0" w:color="auto"/>
            <w:right w:val="none" w:sz="0" w:space="0" w:color="auto"/>
          </w:divBdr>
        </w:div>
        <w:div w:id="1703363953">
          <w:marLeft w:val="640"/>
          <w:marRight w:val="0"/>
          <w:marTop w:val="0"/>
          <w:marBottom w:val="0"/>
          <w:divBdr>
            <w:top w:val="none" w:sz="0" w:space="0" w:color="auto"/>
            <w:left w:val="none" w:sz="0" w:space="0" w:color="auto"/>
            <w:bottom w:val="none" w:sz="0" w:space="0" w:color="auto"/>
            <w:right w:val="none" w:sz="0" w:space="0" w:color="auto"/>
          </w:divBdr>
        </w:div>
        <w:div w:id="679505723">
          <w:marLeft w:val="640"/>
          <w:marRight w:val="0"/>
          <w:marTop w:val="0"/>
          <w:marBottom w:val="0"/>
          <w:divBdr>
            <w:top w:val="none" w:sz="0" w:space="0" w:color="auto"/>
            <w:left w:val="none" w:sz="0" w:space="0" w:color="auto"/>
            <w:bottom w:val="none" w:sz="0" w:space="0" w:color="auto"/>
            <w:right w:val="none" w:sz="0" w:space="0" w:color="auto"/>
          </w:divBdr>
        </w:div>
        <w:div w:id="1560557978">
          <w:marLeft w:val="640"/>
          <w:marRight w:val="0"/>
          <w:marTop w:val="0"/>
          <w:marBottom w:val="0"/>
          <w:divBdr>
            <w:top w:val="none" w:sz="0" w:space="0" w:color="auto"/>
            <w:left w:val="none" w:sz="0" w:space="0" w:color="auto"/>
            <w:bottom w:val="none" w:sz="0" w:space="0" w:color="auto"/>
            <w:right w:val="none" w:sz="0" w:space="0" w:color="auto"/>
          </w:divBdr>
        </w:div>
        <w:div w:id="1525439980">
          <w:marLeft w:val="640"/>
          <w:marRight w:val="0"/>
          <w:marTop w:val="0"/>
          <w:marBottom w:val="0"/>
          <w:divBdr>
            <w:top w:val="none" w:sz="0" w:space="0" w:color="auto"/>
            <w:left w:val="none" w:sz="0" w:space="0" w:color="auto"/>
            <w:bottom w:val="none" w:sz="0" w:space="0" w:color="auto"/>
            <w:right w:val="none" w:sz="0" w:space="0" w:color="auto"/>
          </w:divBdr>
        </w:div>
        <w:div w:id="1215847838">
          <w:marLeft w:val="640"/>
          <w:marRight w:val="0"/>
          <w:marTop w:val="0"/>
          <w:marBottom w:val="0"/>
          <w:divBdr>
            <w:top w:val="none" w:sz="0" w:space="0" w:color="auto"/>
            <w:left w:val="none" w:sz="0" w:space="0" w:color="auto"/>
            <w:bottom w:val="none" w:sz="0" w:space="0" w:color="auto"/>
            <w:right w:val="none" w:sz="0" w:space="0" w:color="auto"/>
          </w:divBdr>
        </w:div>
        <w:div w:id="399796102">
          <w:marLeft w:val="640"/>
          <w:marRight w:val="0"/>
          <w:marTop w:val="0"/>
          <w:marBottom w:val="0"/>
          <w:divBdr>
            <w:top w:val="none" w:sz="0" w:space="0" w:color="auto"/>
            <w:left w:val="none" w:sz="0" w:space="0" w:color="auto"/>
            <w:bottom w:val="none" w:sz="0" w:space="0" w:color="auto"/>
            <w:right w:val="none" w:sz="0" w:space="0" w:color="auto"/>
          </w:divBdr>
        </w:div>
        <w:div w:id="408121349">
          <w:marLeft w:val="640"/>
          <w:marRight w:val="0"/>
          <w:marTop w:val="0"/>
          <w:marBottom w:val="0"/>
          <w:divBdr>
            <w:top w:val="none" w:sz="0" w:space="0" w:color="auto"/>
            <w:left w:val="none" w:sz="0" w:space="0" w:color="auto"/>
            <w:bottom w:val="none" w:sz="0" w:space="0" w:color="auto"/>
            <w:right w:val="none" w:sz="0" w:space="0" w:color="auto"/>
          </w:divBdr>
        </w:div>
        <w:div w:id="462037628">
          <w:marLeft w:val="640"/>
          <w:marRight w:val="0"/>
          <w:marTop w:val="0"/>
          <w:marBottom w:val="0"/>
          <w:divBdr>
            <w:top w:val="none" w:sz="0" w:space="0" w:color="auto"/>
            <w:left w:val="none" w:sz="0" w:space="0" w:color="auto"/>
            <w:bottom w:val="none" w:sz="0" w:space="0" w:color="auto"/>
            <w:right w:val="none" w:sz="0" w:space="0" w:color="auto"/>
          </w:divBdr>
        </w:div>
        <w:div w:id="154227419">
          <w:marLeft w:val="640"/>
          <w:marRight w:val="0"/>
          <w:marTop w:val="0"/>
          <w:marBottom w:val="0"/>
          <w:divBdr>
            <w:top w:val="none" w:sz="0" w:space="0" w:color="auto"/>
            <w:left w:val="none" w:sz="0" w:space="0" w:color="auto"/>
            <w:bottom w:val="none" w:sz="0" w:space="0" w:color="auto"/>
            <w:right w:val="none" w:sz="0" w:space="0" w:color="auto"/>
          </w:divBdr>
        </w:div>
      </w:divsChild>
    </w:div>
    <w:div w:id="893202263">
      <w:bodyDiv w:val="1"/>
      <w:marLeft w:val="0"/>
      <w:marRight w:val="0"/>
      <w:marTop w:val="0"/>
      <w:marBottom w:val="0"/>
      <w:divBdr>
        <w:top w:val="none" w:sz="0" w:space="0" w:color="auto"/>
        <w:left w:val="none" w:sz="0" w:space="0" w:color="auto"/>
        <w:bottom w:val="none" w:sz="0" w:space="0" w:color="auto"/>
        <w:right w:val="none" w:sz="0" w:space="0" w:color="auto"/>
      </w:divBdr>
    </w:div>
    <w:div w:id="1136602188">
      <w:bodyDiv w:val="1"/>
      <w:marLeft w:val="0"/>
      <w:marRight w:val="0"/>
      <w:marTop w:val="0"/>
      <w:marBottom w:val="0"/>
      <w:divBdr>
        <w:top w:val="none" w:sz="0" w:space="0" w:color="auto"/>
        <w:left w:val="none" w:sz="0" w:space="0" w:color="auto"/>
        <w:bottom w:val="none" w:sz="0" w:space="0" w:color="auto"/>
        <w:right w:val="none" w:sz="0" w:space="0" w:color="auto"/>
      </w:divBdr>
      <w:divsChild>
        <w:div w:id="1717124958">
          <w:marLeft w:val="640"/>
          <w:marRight w:val="0"/>
          <w:marTop w:val="0"/>
          <w:marBottom w:val="0"/>
          <w:divBdr>
            <w:top w:val="none" w:sz="0" w:space="0" w:color="auto"/>
            <w:left w:val="none" w:sz="0" w:space="0" w:color="auto"/>
            <w:bottom w:val="none" w:sz="0" w:space="0" w:color="auto"/>
            <w:right w:val="none" w:sz="0" w:space="0" w:color="auto"/>
          </w:divBdr>
        </w:div>
        <w:div w:id="174420722">
          <w:marLeft w:val="640"/>
          <w:marRight w:val="0"/>
          <w:marTop w:val="0"/>
          <w:marBottom w:val="0"/>
          <w:divBdr>
            <w:top w:val="none" w:sz="0" w:space="0" w:color="auto"/>
            <w:left w:val="none" w:sz="0" w:space="0" w:color="auto"/>
            <w:bottom w:val="none" w:sz="0" w:space="0" w:color="auto"/>
            <w:right w:val="none" w:sz="0" w:space="0" w:color="auto"/>
          </w:divBdr>
        </w:div>
        <w:div w:id="1785342548">
          <w:marLeft w:val="640"/>
          <w:marRight w:val="0"/>
          <w:marTop w:val="0"/>
          <w:marBottom w:val="0"/>
          <w:divBdr>
            <w:top w:val="none" w:sz="0" w:space="0" w:color="auto"/>
            <w:left w:val="none" w:sz="0" w:space="0" w:color="auto"/>
            <w:bottom w:val="none" w:sz="0" w:space="0" w:color="auto"/>
            <w:right w:val="none" w:sz="0" w:space="0" w:color="auto"/>
          </w:divBdr>
        </w:div>
        <w:div w:id="1691948180">
          <w:marLeft w:val="640"/>
          <w:marRight w:val="0"/>
          <w:marTop w:val="0"/>
          <w:marBottom w:val="0"/>
          <w:divBdr>
            <w:top w:val="none" w:sz="0" w:space="0" w:color="auto"/>
            <w:left w:val="none" w:sz="0" w:space="0" w:color="auto"/>
            <w:bottom w:val="none" w:sz="0" w:space="0" w:color="auto"/>
            <w:right w:val="none" w:sz="0" w:space="0" w:color="auto"/>
          </w:divBdr>
        </w:div>
        <w:div w:id="97411534">
          <w:marLeft w:val="640"/>
          <w:marRight w:val="0"/>
          <w:marTop w:val="0"/>
          <w:marBottom w:val="0"/>
          <w:divBdr>
            <w:top w:val="none" w:sz="0" w:space="0" w:color="auto"/>
            <w:left w:val="none" w:sz="0" w:space="0" w:color="auto"/>
            <w:bottom w:val="none" w:sz="0" w:space="0" w:color="auto"/>
            <w:right w:val="none" w:sz="0" w:space="0" w:color="auto"/>
          </w:divBdr>
        </w:div>
        <w:div w:id="1318727781">
          <w:marLeft w:val="640"/>
          <w:marRight w:val="0"/>
          <w:marTop w:val="0"/>
          <w:marBottom w:val="0"/>
          <w:divBdr>
            <w:top w:val="none" w:sz="0" w:space="0" w:color="auto"/>
            <w:left w:val="none" w:sz="0" w:space="0" w:color="auto"/>
            <w:bottom w:val="none" w:sz="0" w:space="0" w:color="auto"/>
            <w:right w:val="none" w:sz="0" w:space="0" w:color="auto"/>
          </w:divBdr>
        </w:div>
        <w:div w:id="617955095">
          <w:marLeft w:val="640"/>
          <w:marRight w:val="0"/>
          <w:marTop w:val="0"/>
          <w:marBottom w:val="0"/>
          <w:divBdr>
            <w:top w:val="none" w:sz="0" w:space="0" w:color="auto"/>
            <w:left w:val="none" w:sz="0" w:space="0" w:color="auto"/>
            <w:bottom w:val="none" w:sz="0" w:space="0" w:color="auto"/>
            <w:right w:val="none" w:sz="0" w:space="0" w:color="auto"/>
          </w:divBdr>
        </w:div>
        <w:div w:id="2100633186">
          <w:marLeft w:val="640"/>
          <w:marRight w:val="0"/>
          <w:marTop w:val="0"/>
          <w:marBottom w:val="0"/>
          <w:divBdr>
            <w:top w:val="none" w:sz="0" w:space="0" w:color="auto"/>
            <w:left w:val="none" w:sz="0" w:space="0" w:color="auto"/>
            <w:bottom w:val="none" w:sz="0" w:space="0" w:color="auto"/>
            <w:right w:val="none" w:sz="0" w:space="0" w:color="auto"/>
          </w:divBdr>
        </w:div>
        <w:div w:id="689526666">
          <w:marLeft w:val="640"/>
          <w:marRight w:val="0"/>
          <w:marTop w:val="0"/>
          <w:marBottom w:val="0"/>
          <w:divBdr>
            <w:top w:val="none" w:sz="0" w:space="0" w:color="auto"/>
            <w:left w:val="none" w:sz="0" w:space="0" w:color="auto"/>
            <w:bottom w:val="none" w:sz="0" w:space="0" w:color="auto"/>
            <w:right w:val="none" w:sz="0" w:space="0" w:color="auto"/>
          </w:divBdr>
        </w:div>
        <w:div w:id="1899394231">
          <w:marLeft w:val="640"/>
          <w:marRight w:val="0"/>
          <w:marTop w:val="0"/>
          <w:marBottom w:val="0"/>
          <w:divBdr>
            <w:top w:val="none" w:sz="0" w:space="0" w:color="auto"/>
            <w:left w:val="none" w:sz="0" w:space="0" w:color="auto"/>
            <w:bottom w:val="none" w:sz="0" w:space="0" w:color="auto"/>
            <w:right w:val="none" w:sz="0" w:space="0" w:color="auto"/>
          </w:divBdr>
        </w:div>
        <w:div w:id="1072580445">
          <w:marLeft w:val="640"/>
          <w:marRight w:val="0"/>
          <w:marTop w:val="0"/>
          <w:marBottom w:val="0"/>
          <w:divBdr>
            <w:top w:val="none" w:sz="0" w:space="0" w:color="auto"/>
            <w:left w:val="none" w:sz="0" w:space="0" w:color="auto"/>
            <w:bottom w:val="none" w:sz="0" w:space="0" w:color="auto"/>
            <w:right w:val="none" w:sz="0" w:space="0" w:color="auto"/>
          </w:divBdr>
        </w:div>
        <w:div w:id="1489977656">
          <w:marLeft w:val="640"/>
          <w:marRight w:val="0"/>
          <w:marTop w:val="0"/>
          <w:marBottom w:val="0"/>
          <w:divBdr>
            <w:top w:val="none" w:sz="0" w:space="0" w:color="auto"/>
            <w:left w:val="none" w:sz="0" w:space="0" w:color="auto"/>
            <w:bottom w:val="none" w:sz="0" w:space="0" w:color="auto"/>
            <w:right w:val="none" w:sz="0" w:space="0" w:color="auto"/>
          </w:divBdr>
        </w:div>
        <w:div w:id="741606644">
          <w:marLeft w:val="640"/>
          <w:marRight w:val="0"/>
          <w:marTop w:val="0"/>
          <w:marBottom w:val="0"/>
          <w:divBdr>
            <w:top w:val="none" w:sz="0" w:space="0" w:color="auto"/>
            <w:left w:val="none" w:sz="0" w:space="0" w:color="auto"/>
            <w:bottom w:val="none" w:sz="0" w:space="0" w:color="auto"/>
            <w:right w:val="none" w:sz="0" w:space="0" w:color="auto"/>
          </w:divBdr>
        </w:div>
        <w:div w:id="409160050">
          <w:marLeft w:val="640"/>
          <w:marRight w:val="0"/>
          <w:marTop w:val="0"/>
          <w:marBottom w:val="0"/>
          <w:divBdr>
            <w:top w:val="none" w:sz="0" w:space="0" w:color="auto"/>
            <w:left w:val="none" w:sz="0" w:space="0" w:color="auto"/>
            <w:bottom w:val="none" w:sz="0" w:space="0" w:color="auto"/>
            <w:right w:val="none" w:sz="0" w:space="0" w:color="auto"/>
          </w:divBdr>
        </w:div>
        <w:div w:id="1147942639">
          <w:marLeft w:val="640"/>
          <w:marRight w:val="0"/>
          <w:marTop w:val="0"/>
          <w:marBottom w:val="0"/>
          <w:divBdr>
            <w:top w:val="none" w:sz="0" w:space="0" w:color="auto"/>
            <w:left w:val="none" w:sz="0" w:space="0" w:color="auto"/>
            <w:bottom w:val="none" w:sz="0" w:space="0" w:color="auto"/>
            <w:right w:val="none" w:sz="0" w:space="0" w:color="auto"/>
          </w:divBdr>
        </w:div>
        <w:div w:id="2057700247">
          <w:marLeft w:val="640"/>
          <w:marRight w:val="0"/>
          <w:marTop w:val="0"/>
          <w:marBottom w:val="0"/>
          <w:divBdr>
            <w:top w:val="none" w:sz="0" w:space="0" w:color="auto"/>
            <w:left w:val="none" w:sz="0" w:space="0" w:color="auto"/>
            <w:bottom w:val="none" w:sz="0" w:space="0" w:color="auto"/>
            <w:right w:val="none" w:sz="0" w:space="0" w:color="auto"/>
          </w:divBdr>
        </w:div>
        <w:div w:id="893850151">
          <w:marLeft w:val="640"/>
          <w:marRight w:val="0"/>
          <w:marTop w:val="0"/>
          <w:marBottom w:val="0"/>
          <w:divBdr>
            <w:top w:val="none" w:sz="0" w:space="0" w:color="auto"/>
            <w:left w:val="none" w:sz="0" w:space="0" w:color="auto"/>
            <w:bottom w:val="none" w:sz="0" w:space="0" w:color="auto"/>
            <w:right w:val="none" w:sz="0" w:space="0" w:color="auto"/>
          </w:divBdr>
        </w:div>
        <w:div w:id="1594707543">
          <w:marLeft w:val="640"/>
          <w:marRight w:val="0"/>
          <w:marTop w:val="0"/>
          <w:marBottom w:val="0"/>
          <w:divBdr>
            <w:top w:val="none" w:sz="0" w:space="0" w:color="auto"/>
            <w:left w:val="none" w:sz="0" w:space="0" w:color="auto"/>
            <w:bottom w:val="none" w:sz="0" w:space="0" w:color="auto"/>
            <w:right w:val="none" w:sz="0" w:space="0" w:color="auto"/>
          </w:divBdr>
        </w:div>
        <w:div w:id="42104212">
          <w:marLeft w:val="640"/>
          <w:marRight w:val="0"/>
          <w:marTop w:val="0"/>
          <w:marBottom w:val="0"/>
          <w:divBdr>
            <w:top w:val="none" w:sz="0" w:space="0" w:color="auto"/>
            <w:left w:val="none" w:sz="0" w:space="0" w:color="auto"/>
            <w:bottom w:val="none" w:sz="0" w:space="0" w:color="auto"/>
            <w:right w:val="none" w:sz="0" w:space="0" w:color="auto"/>
          </w:divBdr>
        </w:div>
        <w:div w:id="1195999157">
          <w:marLeft w:val="640"/>
          <w:marRight w:val="0"/>
          <w:marTop w:val="0"/>
          <w:marBottom w:val="0"/>
          <w:divBdr>
            <w:top w:val="none" w:sz="0" w:space="0" w:color="auto"/>
            <w:left w:val="none" w:sz="0" w:space="0" w:color="auto"/>
            <w:bottom w:val="none" w:sz="0" w:space="0" w:color="auto"/>
            <w:right w:val="none" w:sz="0" w:space="0" w:color="auto"/>
          </w:divBdr>
        </w:div>
        <w:div w:id="1764833828">
          <w:marLeft w:val="640"/>
          <w:marRight w:val="0"/>
          <w:marTop w:val="0"/>
          <w:marBottom w:val="0"/>
          <w:divBdr>
            <w:top w:val="none" w:sz="0" w:space="0" w:color="auto"/>
            <w:left w:val="none" w:sz="0" w:space="0" w:color="auto"/>
            <w:bottom w:val="none" w:sz="0" w:space="0" w:color="auto"/>
            <w:right w:val="none" w:sz="0" w:space="0" w:color="auto"/>
          </w:divBdr>
        </w:div>
        <w:div w:id="91050213">
          <w:marLeft w:val="640"/>
          <w:marRight w:val="0"/>
          <w:marTop w:val="0"/>
          <w:marBottom w:val="0"/>
          <w:divBdr>
            <w:top w:val="none" w:sz="0" w:space="0" w:color="auto"/>
            <w:left w:val="none" w:sz="0" w:space="0" w:color="auto"/>
            <w:bottom w:val="none" w:sz="0" w:space="0" w:color="auto"/>
            <w:right w:val="none" w:sz="0" w:space="0" w:color="auto"/>
          </w:divBdr>
        </w:div>
        <w:div w:id="251402603">
          <w:marLeft w:val="640"/>
          <w:marRight w:val="0"/>
          <w:marTop w:val="0"/>
          <w:marBottom w:val="0"/>
          <w:divBdr>
            <w:top w:val="none" w:sz="0" w:space="0" w:color="auto"/>
            <w:left w:val="none" w:sz="0" w:space="0" w:color="auto"/>
            <w:bottom w:val="none" w:sz="0" w:space="0" w:color="auto"/>
            <w:right w:val="none" w:sz="0" w:space="0" w:color="auto"/>
          </w:divBdr>
        </w:div>
        <w:div w:id="958682763">
          <w:marLeft w:val="640"/>
          <w:marRight w:val="0"/>
          <w:marTop w:val="0"/>
          <w:marBottom w:val="0"/>
          <w:divBdr>
            <w:top w:val="none" w:sz="0" w:space="0" w:color="auto"/>
            <w:left w:val="none" w:sz="0" w:space="0" w:color="auto"/>
            <w:bottom w:val="none" w:sz="0" w:space="0" w:color="auto"/>
            <w:right w:val="none" w:sz="0" w:space="0" w:color="auto"/>
          </w:divBdr>
        </w:div>
      </w:divsChild>
    </w:div>
    <w:div w:id="1574388787">
      <w:bodyDiv w:val="1"/>
      <w:marLeft w:val="0"/>
      <w:marRight w:val="0"/>
      <w:marTop w:val="0"/>
      <w:marBottom w:val="0"/>
      <w:divBdr>
        <w:top w:val="none" w:sz="0" w:space="0" w:color="auto"/>
        <w:left w:val="none" w:sz="0" w:space="0" w:color="auto"/>
        <w:bottom w:val="none" w:sz="0" w:space="0" w:color="auto"/>
        <w:right w:val="none" w:sz="0" w:space="0" w:color="auto"/>
      </w:divBdr>
    </w:div>
    <w:div w:id="1652905798">
      <w:bodyDiv w:val="1"/>
      <w:marLeft w:val="0"/>
      <w:marRight w:val="0"/>
      <w:marTop w:val="0"/>
      <w:marBottom w:val="0"/>
      <w:divBdr>
        <w:top w:val="none" w:sz="0" w:space="0" w:color="auto"/>
        <w:left w:val="none" w:sz="0" w:space="0" w:color="auto"/>
        <w:bottom w:val="none" w:sz="0" w:space="0" w:color="auto"/>
        <w:right w:val="none" w:sz="0" w:space="0" w:color="auto"/>
      </w:divBdr>
    </w:div>
    <w:div w:id="1685135037">
      <w:bodyDiv w:val="1"/>
      <w:marLeft w:val="0"/>
      <w:marRight w:val="0"/>
      <w:marTop w:val="0"/>
      <w:marBottom w:val="0"/>
      <w:divBdr>
        <w:top w:val="none" w:sz="0" w:space="0" w:color="auto"/>
        <w:left w:val="none" w:sz="0" w:space="0" w:color="auto"/>
        <w:bottom w:val="none" w:sz="0" w:space="0" w:color="auto"/>
        <w:right w:val="none" w:sz="0" w:space="0" w:color="auto"/>
      </w:divBdr>
    </w:div>
    <w:div w:id="1728382458">
      <w:bodyDiv w:val="1"/>
      <w:marLeft w:val="0"/>
      <w:marRight w:val="0"/>
      <w:marTop w:val="0"/>
      <w:marBottom w:val="0"/>
      <w:divBdr>
        <w:top w:val="none" w:sz="0" w:space="0" w:color="auto"/>
        <w:left w:val="none" w:sz="0" w:space="0" w:color="auto"/>
        <w:bottom w:val="none" w:sz="0" w:space="0" w:color="auto"/>
        <w:right w:val="none" w:sz="0" w:space="0" w:color="auto"/>
      </w:divBdr>
    </w:div>
    <w:div w:id="1754469653">
      <w:bodyDiv w:val="1"/>
      <w:marLeft w:val="0"/>
      <w:marRight w:val="0"/>
      <w:marTop w:val="0"/>
      <w:marBottom w:val="0"/>
      <w:divBdr>
        <w:top w:val="none" w:sz="0" w:space="0" w:color="auto"/>
        <w:left w:val="none" w:sz="0" w:space="0" w:color="auto"/>
        <w:bottom w:val="none" w:sz="0" w:space="0" w:color="auto"/>
        <w:right w:val="none" w:sz="0" w:space="0" w:color="auto"/>
      </w:divBdr>
    </w:div>
    <w:div w:id="1766534856">
      <w:bodyDiv w:val="1"/>
      <w:marLeft w:val="0"/>
      <w:marRight w:val="0"/>
      <w:marTop w:val="0"/>
      <w:marBottom w:val="0"/>
      <w:divBdr>
        <w:top w:val="none" w:sz="0" w:space="0" w:color="auto"/>
        <w:left w:val="none" w:sz="0" w:space="0" w:color="auto"/>
        <w:bottom w:val="none" w:sz="0" w:space="0" w:color="auto"/>
        <w:right w:val="none" w:sz="0" w:space="0" w:color="auto"/>
      </w:divBdr>
    </w:div>
    <w:div w:id="1869635133">
      <w:bodyDiv w:val="1"/>
      <w:marLeft w:val="0"/>
      <w:marRight w:val="0"/>
      <w:marTop w:val="0"/>
      <w:marBottom w:val="0"/>
      <w:divBdr>
        <w:top w:val="none" w:sz="0" w:space="0" w:color="auto"/>
        <w:left w:val="none" w:sz="0" w:space="0" w:color="auto"/>
        <w:bottom w:val="none" w:sz="0" w:space="0" w:color="auto"/>
        <w:right w:val="none" w:sz="0" w:space="0" w:color="auto"/>
      </w:divBdr>
      <w:divsChild>
        <w:div w:id="562331183">
          <w:marLeft w:val="640"/>
          <w:marRight w:val="0"/>
          <w:marTop w:val="0"/>
          <w:marBottom w:val="0"/>
          <w:divBdr>
            <w:top w:val="none" w:sz="0" w:space="0" w:color="auto"/>
            <w:left w:val="none" w:sz="0" w:space="0" w:color="auto"/>
            <w:bottom w:val="none" w:sz="0" w:space="0" w:color="auto"/>
            <w:right w:val="none" w:sz="0" w:space="0" w:color="auto"/>
          </w:divBdr>
        </w:div>
        <w:div w:id="1990360393">
          <w:marLeft w:val="640"/>
          <w:marRight w:val="0"/>
          <w:marTop w:val="0"/>
          <w:marBottom w:val="0"/>
          <w:divBdr>
            <w:top w:val="none" w:sz="0" w:space="0" w:color="auto"/>
            <w:left w:val="none" w:sz="0" w:space="0" w:color="auto"/>
            <w:bottom w:val="none" w:sz="0" w:space="0" w:color="auto"/>
            <w:right w:val="none" w:sz="0" w:space="0" w:color="auto"/>
          </w:divBdr>
        </w:div>
        <w:div w:id="1987467108">
          <w:marLeft w:val="640"/>
          <w:marRight w:val="0"/>
          <w:marTop w:val="0"/>
          <w:marBottom w:val="0"/>
          <w:divBdr>
            <w:top w:val="none" w:sz="0" w:space="0" w:color="auto"/>
            <w:left w:val="none" w:sz="0" w:space="0" w:color="auto"/>
            <w:bottom w:val="none" w:sz="0" w:space="0" w:color="auto"/>
            <w:right w:val="none" w:sz="0" w:space="0" w:color="auto"/>
          </w:divBdr>
        </w:div>
        <w:div w:id="1228423272">
          <w:marLeft w:val="640"/>
          <w:marRight w:val="0"/>
          <w:marTop w:val="0"/>
          <w:marBottom w:val="0"/>
          <w:divBdr>
            <w:top w:val="none" w:sz="0" w:space="0" w:color="auto"/>
            <w:left w:val="none" w:sz="0" w:space="0" w:color="auto"/>
            <w:bottom w:val="none" w:sz="0" w:space="0" w:color="auto"/>
            <w:right w:val="none" w:sz="0" w:space="0" w:color="auto"/>
          </w:divBdr>
        </w:div>
        <w:div w:id="1582983184">
          <w:marLeft w:val="640"/>
          <w:marRight w:val="0"/>
          <w:marTop w:val="0"/>
          <w:marBottom w:val="0"/>
          <w:divBdr>
            <w:top w:val="none" w:sz="0" w:space="0" w:color="auto"/>
            <w:left w:val="none" w:sz="0" w:space="0" w:color="auto"/>
            <w:bottom w:val="none" w:sz="0" w:space="0" w:color="auto"/>
            <w:right w:val="none" w:sz="0" w:space="0" w:color="auto"/>
          </w:divBdr>
        </w:div>
        <w:div w:id="1636065310">
          <w:marLeft w:val="640"/>
          <w:marRight w:val="0"/>
          <w:marTop w:val="0"/>
          <w:marBottom w:val="0"/>
          <w:divBdr>
            <w:top w:val="none" w:sz="0" w:space="0" w:color="auto"/>
            <w:left w:val="none" w:sz="0" w:space="0" w:color="auto"/>
            <w:bottom w:val="none" w:sz="0" w:space="0" w:color="auto"/>
            <w:right w:val="none" w:sz="0" w:space="0" w:color="auto"/>
          </w:divBdr>
        </w:div>
        <w:div w:id="2027827766">
          <w:marLeft w:val="640"/>
          <w:marRight w:val="0"/>
          <w:marTop w:val="0"/>
          <w:marBottom w:val="0"/>
          <w:divBdr>
            <w:top w:val="none" w:sz="0" w:space="0" w:color="auto"/>
            <w:left w:val="none" w:sz="0" w:space="0" w:color="auto"/>
            <w:bottom w:val="none" w:sz="0" w:space="0" w:color="auto"/>
            <w:right w:val="none" w:sz="0" w:space="0" w:color="auto"/>
          </w:divBdr>
        </w:div>
        <w:div w:id="1445929302">
          <w:marLeft w:val="640"/>
          <w:marRight w:val="0"/>
          <w:marTop w:val="0"/>
          <w:marBottom w:val="0"/>
          <w:divBdr>
            <w:top w:val="none" w:sz="0" w:space="0" w:color="auto"/>
            <w:left w:val="none" w:sz="0" w:space="0" w:color="auto"/>
            <w:bottom w:val="none" w:sz="0" w:space="0" w:color="auto"/>
            <w:right w:val="none" w:sz="0" w:space="0" w:color="auto"/>
          </w:divBdr>
        </w:div>
        <w:div w:id="1753890958">
          <w:marLeft w:val="640"/>
          <w:marRight w:val="0"/>
          <w:marTop w:val="0"/>
          <w:marBottom w:val="0"/>
          <w:divBdr>
            <w:top w:val="none" w:sz="0" w:space="0" w:color="auto"/>
            <w:left w:val="none" w:sz="0" w:space="0" w:color="auto"/>
            <w:bottom w:val="none" w:sz="0" w:space="0" w:color="auto"/>
            <w:right w:val="none" w:sz="0" w:space="0" w:color="auto"/>
          </w:divBdr>
        </w:div>
        <w:div w:id="732390569">
          <w:marLeft w:val="640"/>
          <w:marRight w:val="0"/>
          <w:marTop w:val="0"/>
          <w:marBottom w:val="0"/>
          <w:divBdr>
            <w:top w:val="none" w:sz="0" w:space="0" w:color="auto"/>
            <w:left w:val="none" w:sz="0" w:space="0" w:color="auto"/>
            <w:bottom w:val="none" w:sz="0" w:space="0" w:color="auto"/>
            <w:right w:val="none" w:sz="0" w:space="0" w:color="auto"/>
          </w:divBdr>
        </w:div>
        <w:div w:id="1371295216">
          <w:marLeft w:val="640"/>
          <w:marRight w:val="0"/>
          <w:marTop w:val="0"/>
          <w:marBottom w:val="0"/>
          <w:divBdr>
            <w:top w:val="none" w:sz="0" w:space="0" w:color="auto"/>
            <w:left w:val="none" w:sz="0" w:space="0" w:color="auto"/>
            <w:bottom w:val="none" w:sz="0" w:space="0" w:color="auto"/>
            <w:right w:val="none" w:sz="0" w:space="0" w:color="auto"/>
          </w:divBdr>
        </w:div>
        <w:div w:id="2120951326">
          <w:marLeft w:val="640"/>
          <w:marRight w:val="0"/>
          <w:marTop w:val="0"/>
          <w:marBottom w:val="0"/>
          <w:divBdr>
            <w:top w:val="none" w:sz="0" w:space="0" w:color="auto"/>
            <w:left w:val="none" w:sz="0" w:space="0" w:color="auto"/>
            <w:bottom w:val="none" w:sz="0" w:space="0" w:color="auto"/>
            <w:right w:val="none" w:sz="0" w:space="0" w:color="auto"/>
          </w:divBdr>
        </w:div>
        <w:div w:id="1821993151">
          <w:marLeft w:val="640"/>
          <w:marRight w:val="0"/>
          <w:marTop w:val="0"/>
          <w:marBottom w:val="0"/>
          <w:divBdr>
            <w:top w:val="none" w:sz="0" w:space="0" w:color="auto"/>
            <w:left w:val="none" w:sz="0" w:space="0" w:color="auto"/>
            <w:bottom w:val="none" w:sz="0" w:space="0" w:color="auto"/>
            <w:right w:val="none" w:sz="0" w:space="0" w:color="auto"/>
          </w:divBdr>
        </w:div>
        <w:div w:id="75441006">
          <w:marLeft w:val="640"/>
          <w:marRight w:val="0"/>
          <w:marTop w:val="0"/>
          <w:marBottom w:val="0"/>
          <w:divBdr>
            <w:top w:val="none" w:sz="0" w:space="0" w:color="auto"/>
            <w:left w:val="none" w:sz="0" w:space="0" w:color="auto"/>
            <w:bottom w:val="none" w:sz="0" w:space="0" w:color="auto"/>
            <w:right w:val="none" w:sz="0" w:space="0" w:color="auto"/>
          </w:divBdr>
        </w:div>
        <w:div w:id="1284657896">
          <w:marLeft w:val="640"/>
          <w:marRight w:val="0"/>
          <w:marTop w:val="0"/>
          <w:marBottom w:val="0"/>
          <w:divBdr>
            <w:top w:val="none" w:sz="0" w:space="0" w:color="auto"/>
            <w:left w:val="none" w:sz="0" w:space="0" w:color="auto"/>
            <w:bottom w:val="none" w:sz="0" w:space="0" w:color="auto"/>
            <w:right w:val="none" w:sz="0" w:space="0" w:color="auto"/>
          </w:divBdr>
        </w:div>
        <w:div w:id="763499826">
          <w:marLeft w:val="640"/>
          <w:marRight w:val="0"/>
          <w:marTop w:val="0"/>
          <w:marBottom w:val="0"/>
          <w:divBdr>
            <w:top w:val="none" w:sz="0" w:space="0" w:color="auto"/>
            <w:left w:val="none" w:sz="0" w:space="0" w:color="auto"/>
            <w:bottom w:val="none" w:sz="0" w:space="0" w:color="auto"/>
            <w:right w:val="none" w:sz="0" w:space="0" w:color="auto"/>
          </w:divBdr>
        </w:div>
        <w:div w:id="859440535">
          <w:marLeft w:val="640"/>
          <w:marRight w:val="0"/>
          <w:marTop w:val="0"/>
          <w:marBottom w:val="0"/>
          <w:divBdr>
            <w:top w:val="none" w:sz="0" w:space="0" w:color="auto"/>
            <w:left w:val="none" w:sz="0" w:space="0" w:color="auto"/>
            <w:bottom w:val="none" w:sz="0" w:space="0" w:color="auto"/>
            <w:right w:val="none" w:sz="0" w:space="0" w:color="auto"/>
          </w:divBdr>
        </w:div>
        <w:div w:id="150829221">
          <w:marLeft w:val="640"/>
          <w:marRight w:val="0"/>
          <w:marTop w:val="0"/>
          <w:marBottom w:val="0"/>
          <w:divBdr>
            <w:top w:val="none" w:sz="0" w:space="0" w:color="auto"/>
            <w:left w:val="none" w:sz="0" w:space="0" w:color="auto"/>
            <w:bottom w:val="none" w:sz="0" w:space="0" w:color="auto"/>
            <w:right w:val="none" w:sz="0" w:space="0" w:color="auto"/>
          </w:divBdr>
        </w:div>
        <w:div w:id="170461003">
          <w:marLeft w:val="640"/>
          <w:marRight w:val="0"/>
          <w:marTop w:val="0"/>
          <w:marBottom w:val="0"/>
          <w:divBdr>
            <w:top w:val="none" w:sz="0" w:space="0" w:color="auto"/>
            <w:left w:val="none" w:sz="0" w:space="0" w:color="auto"/>
            <w:bottom w:val="none" w:sz="0" w:space="0" w:color="auto"/>
            <w:right w:val="none" w:sz="0" w:space="0" w:color="auto"/>
          </w:divBdr>
        </w:div>
        <w:div w:id="1135558782">
          <w:marLeft w:val="640"/>
          <w:marRight w:val="0"/>
          <w:marTop w:val="0"/>
          <w:marBottom w:val="0"/>
          <w:divBdr>
            <w:top w:val="none" w:sz="0" w:space="0" w:color="auto"/>
            <w:left w:val="none" w:sz="0" w:space="0" w:color="auto"/>
            <w:bottom w:val="none" w:sz="0" w:space="0" w:color="auto"/>
            <w:right w:val="none" w:sz="0" w:space="0" w:color="auto"/>
          </w:divBdr>
        </w:div>
        <w:div w:id="717434663">
          <w:marLeft w:val="640"/>
          <w:marRight w:val="0"/>
          <w:marTop w:val="0"/>
          <w:marBottom w:val="0"/>
          <w:divBdr>
            <w:top w:val="none" w:sz="0" w:space="0" w:color="auto"/>
            <w:left w:val="none" w:sz="0" w:space="0" w:color="auto"/>
            <w:bottom w:val="none" w:sz="0" w:space="0" w:color="auto"/>
            <w:right w:val="none" w:sz="0" w:space="0" w:color="auto"/>
          </w:divBdr>
        </w:div>
        <w:div w:id="1996686345">
          <w:marLeft w:val="640"/>
          <w:marRight w:val="0"/>
          <w:marTop w:val="0"/>
          <w:marBottom w:val="0"/>
          <w:divBdr>
            <w:top w:val="none" w:sz="0" w:space="0" w:color="auto"/>
            <w:left w:val="none" w:sz="0" w:space="0" w:color="auto"/>
            <w:bottom w:val="none" w:sz="0" w:space="0" w:color="auto"/>
            <w:right w:val="none" w:sz="0" w:space="0" w:color="auto"/>
          </w:divBdr>
        </w:div>
        <w:div w:id="1195388416">
          <w:marLeft w:val="640"/>
          <w:marRight w:val="0"/>
          <w:marTop w:val="0"/>
          <w:marBottom w:val="0"/>
          <w:divBdr>
            <w:top w:val="none" w:sz="0" w:space="0" w:color="auto"/>
            <w:left w:val="none" w:sz="0" w:space="0" w:color="auto"/>
            <w:bottom w:val="none" w:sz="0" w:space="0" w:color="auto"/>
            <w:right w:val="none" w:sz="0" w:space="0" w:color="auto"/>
          </w:divBdr>
        </w:div>
        <w:div w:id="1487284617">
          <w:marLeft w:val="64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doi.org/10.3390/biom10010148" TargetMode="External"/><Relationship Id="rId47" Type="http://schemas.openxmlformats.org/officeDocument/2006/relationships/hyperlink" Target="https://doi.org/10.1016/j.jconrel.2011.07.031" TargetMode="External"/><Relationship Id="rId50" Type="http://schemas.openxmlformats.org/officeDocument/2006/relationships/hyperlink" Target="https://doi.org/10.1016/j.seppur.2015.03.020" TargetMode="External"/><Relationship Id="rId55" Type="http://schemas.openxmlformats.org/officeDocument/2006/relationships/hyperlink" Target="https://doi.org/10.1002/jcc.27487"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s://doi.org/10.1002/advs.202407018" TargetMode="External"/><Relationship Id="rId40" Type="http://schemas.openxmlformats.org/officeDocument/2006/relationships/hyperlink" Target="https://doi.org/10.3390/molecules28062466" TargetMode="External"/><Relationship Id="rId45" Type="http://schemas.openxmlformats.org/officeDocument/2006/relationships/hyperlink" Target="https://doi.org/10.1016/j.colsurfb.2022.112422" TargetMode="External"/><Relationship Id="rId53" Type="http://schemas.openxmlformats.org/officeDocument/2006/relationships/hyperlink" Target="https://doi.org/10.1016/0584-8539(79)80181-6" TargetMode="External"/><Relationship Id="rId58" Type="http://schemas.openxmlformats.org/officeDocument/2006/relationships/hyperlink" Target="https://doi.org/10.1021/jp004368u" TargetMode="External"/><Relationship Id="rId5" Type="http://schemas.openxmlformats.org/officeDocument/2006/relationships/settings" Target="settings.xml"/><Relationship Id="rId61" Type="http://schemas.openxmlformats.org/officeDocument/2006/relationships/header" Target="header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emf"/><Relationship Id="rId35" Type="http://schemas.openxmlformats.org/officeDocument/2006/relationships/image" Target="media/image25.png"/><Relationship Id="rId43" Type="http://schemas.openxmlformats.org/officeDocument/2006/relationships/hyperlink" Target="https://doi.org/10.1016/j.matchemphys.2020.122790" TargetMode="External"/><Relationship Id="rId48" Type="http://schemas.openxmlformats.org/officeDocument/2006/relationships/hyperlink" Target="https://doi.org/10.1002/advs.202207744" TargetMode="External"/><Relationship Id="rId56" Type="http://schemas.openxmlformats.org/officeDocument/2006/relationships/hyperlink" Target="https://doi.org/10.1103/physrevb.29.6443" TargetMode="External"/><Relationship Id="rId64"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s://doi.org/10.1021/am5049702" TargetMode="External"/><Relationship Id="rId3" Type="http://schemas.openxmlformats.org/officeDocument/2006/relationships/numbering" Target="numbering.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doi.org/10.1016/j.compositesb.2022.109663" TargetMode="External"/><Relationship Id="rId46" Type="http://schemas.openxmlformats.org/officeDocument/2006/relationships/hyperlink" Target="https://doi.org/10.1016/j.msec.2017.08.004" TargetMode="External"/><Relationship Id="rId59" Type="http://schemas.openxmlformats.org/officeDocument/2006/relationships/hyperlink" Target="https://doi.org/10.1016/j.cej.2024.152757" TargetMode="External"/><Relationship Id="rId20" Type="http://schemas.openxmlformats.org/officeDocument/2006/relationships/image" Target="media/image10.png"/><Relationship Id="rId41" Type="http://schemas.openxmlformats.org/officeDocument/2006/relationships/hyperlink" Target="https://doi.org/10.1016/b978-0-08-088504-9.00002-7" TargetMode="External"/><Relationship Id="rId54" Type="http://schemas.openxmlformats.org/officeDocument/2006/relationships/hyperlink" Target="https://doi.org/10.1038/s41467-022-30687-9"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emf"/><Relationship Id="rId49" Type="http://schemas.openxmlformats.org/officeDocument/2006/relationships/hyperlink" Target="https://doi.org/10.3390/separations10030192" TargetMode="External"/><Relationship Id="rId57" Type="http://schemas.openxmlformats.org/officeDocument/2006/relationships/hyperlink" Target="https://doi.org/10.1103/PhysRevLett.56.632" TargetMode="External"/><Relationship Id="rId10" Type="http://schemas.openxmlformats.org/officeDocument/2006/relationships/hyperlink" Target="mailto:jinhyeok.cha@chonnam.ac.kr" TargetMode="External"/><Relationship Id="rId31" Type="http://schemas.openxmlformats.org/officeDocument/2006/relationships/image" Target="media/image21.png"/><Relationship Id="rId44" Type="http://schemas.openxmlformats.org/officeDocument/2006/relationships/hyperlink" Target="https://doi.org/10.1016/j.ijbiomac.2019.12.275" TargetMode="External"/><Relationship Id="rId52" Type="http://schemas.openxmlformats.org/officeDocument/2006/relationships/hyperlink" Target="https://doi.org/10.1021/acsapm.4c03473" TargetMode="External"/><Relationship Id="rId60" Type="http://schemas.openxmlformats.org/officeDocument/2006/relationships/hyperlink" Target="https://doi.org/10.1021/jp973296c" TargetMode="External"/><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sb.park@cnu.ac.kr" TargetMode="External"/><Relationship Id="rId13" Type="http://schemas.openxmlformats.org/officeDocument/2006/relationships/image" Target="media/image3.emf"/><Relationship Id="rId18" Type="http://schemas.openxmlformats.org/officeDocument/2006/relationships/image" Target="media/image8.png"/><Relationship Id="rId39" Type="http://schemas.openxmlformats.org/officeDocument/2006/relationships/hyperlink" Target="https://doi.org/10.1016/j.compositesb.2022.110029"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LWylie\Lokale%20Einstellungen\Anwendungsdaten\Chemistry%20Add-in%20for%20Word\Chemistry%20Gallery\Chem4Wor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E28B70EC12F4932AAC33F96D2733ED2"/>
        <w:category>
          <w:name w:val="General"/>
          <w:gallery w:val="placeholder"/>
        </w:category>
        <w:types>
          <w:type w:val="bbPlcHdr"/>
        </w:types>
        <w:behaviors>
          <w:behavior w:val="content"/>
        </w:behaviors>
        <w:guid w:val="{7734FE74-4FD7-48B1-B38A-7D1DADD1CE3C}"/>
      </w:docPartPr>
      <w:docPartBody>
        <w:p w:rsidR="007D6F38" w:rsidRDefault="00AC27EE" w:rsidP="00AC27EE">
          <w:pPr>
            <w:pStyle w:val="BE28B70EC12F4932AAC33F96D2733ED2"/>
          </w:pPr>
          <w:r w:rsidRPr="00BB158E">
            <w:rPr>
              <w:rStyle w:val="PlaceholderText"/>
            </w:rPr>
            <w:t>Click or tap here to enter text.</w:t>
          </w:r>
        </w:p>
      </w:docPartBody>
    </w:docPart>
    <w:docPart>
      <w:docPartPr>
        <w:name w:val="4EE73BE20D0E4C5CA40B0399CBDAD17F"/>
        <w:category>
          <w:name w:val="일반"/>
          <w:gallery w:val="placeholder"/>
        </w:category>
        <w:types>
          <w:type w:val="bbPlcHdr"/>
        </w:types>
        <w:behaviors>
          <w:behavior w:val="content"/>
        </w:behaviors>
        <w:guid w:val="{6297ED99-DEB2-478D-BEDE-9BDF06331F07}"/>
      </w:docPartPr>
      <w:docPartBody>
        <w:p w:rsidR="00187E88" w:rsidRDefault="00E13D1A" w:rsidP="00E13D1A">
          <w:pPr>
            <w:pStyle w:val="4EE73BE20D0E4C5CA40B0399CBDAD17F"/>
          </w:pPr>
          <w:r>
            <w:rPr>
              <w:rStyle w:val="PlaceholderText"/>
            </w:rPr>
            <w:t>Click or tap here to enter text.</w:t>
          </w:r>
        </w:p>
      </w:docPartBody>
    </w:docPart>
    <w:docPart>
      <w:docPartPr>
        <w:name w:val="AE8EA7E9005745EB870869DF1208172D"/>
        <w:category>
          <w:name w:val="일반"/>
          <w:gallery w:val="placeholder"/>
        </w:category>
        <w:types>
          <w:type w:val="bbPlcHdr"/>
        </w:types>
        <w:behaviors>
          <w:behavior w:val="content"/>
        </w:behaviors>
        <w:guid w:val="{17A9235E-10B3-47EA-B1C6-5FF33C614403}"/>
      </w:docPartPr>
      <w:docPartBody>
        <w:p w:rsidR="00187E88" w:rsidRDefault="00E13D1A" w:rsidP="00E13D1A">
          <w:pPr>
            <w:pStyle w:val="AE8EA7E9005745EB870869DF1208172D"/>
          </w:pPr>
          <w:r w:rsidRPr="00BB158E">
            <w:rPr>
              <w:rStyle w:val="PlaceholderText"/>
            </w:rPr>
            <w:t>Click or tap here to enter text.</w:t>
          </w:r>
        </w:p>
      </w:docPartBody>
    </w:docPart>
    <w:docPart>
      <w:docPartPr>
        <w:name w:val="9CBEE7EFDBBF41C9AAB99171C438D139"/>
        <w:category>
          <w:name w:val="일반"/>
          <w:gallery w:val="placeholder"/>
        </w:category>
        <w:types>
          <w:type w:val="bbPlcHdr"/>
        </w:types>
        <w:behaviors>
          <w:behavior w:val="content"/>
        </w:behaviors>
        <w:guid w:val="{C22CFF99-54D1-42EB-909B-E05C735CD36E}"/>
      </w:docPartPr>
      <w:docPartBody>
        <w:p w:rsidR="00187E88" w:rsidRDefault="00E13D1A" w:rsidP="00E13D1A">
          <w:pPr>
            <w:pStyle w:val="9CBEE7EFDBBF41C9AAB99171C438D139"/>
          </w:pPr>
          <w:r w:rsidRPr="00BB158E">
            <w:rPr>
              <w:rStyle w:val="PlaceholderText"/>
            </w:rPr>
            <w:t>Click or tap here to enter text.</w:t>
          </w:r>
        </w:p>
      </w:docPartBody>
    </w:docPart>
    <w:docPart>
      <w:docPartPr>
        <w:name w:val="A9E650F153D64287AC0EA22DC6D2336C"/>
        <w:category>
          <w:name w:val="일반"/>
          <w:gallery w:val="placeholder"/>
        </w:category>
        <w:types>
          <w:type w:val="bbPlcHdr"/>
        </w:types>
        <w:behaviors>
          <w:behavior w:val="content"/>
        </w:behaviors>
        <w:guid w:val="{CAC1AE3F-8674-4E38-BEBF-4244CE469978}"/>
      </w:docPartPr>
      <w:docPartBody>
        <w:p w:rsidR="00187E88" w:rsidRDefault="00E13D1A" w:rsidP="00E13D1A">
          <w:pPr>
            <w:pStyle w:val="A9E650F153D64287AC0EA22DC6D2336C"/>
          </w:pPr>
          <w:r w:rsidRPr="00BB158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lgun Gothic">
    <w:altName w:val="맑은 고딕"/>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Yu Mincho">
    <w:altName w:val="Yu Gothic UI"/>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7EE"/>
    <w:rsid w:val="00142F88"/>
    <w:rsid w:val="00187E88"/>
    <w:rsid w:val="002873CB"/>
    <w:rsid w:val="003375CE"/>
    <w:rsid w:val="007D6F38"/>
    <w:rsid w:val="008A3001"/>
    <w:rsid w:val="00AC27EE"/>
    <w:rsid w:val="00BA4B9E"/>
    <w:rsid w:val="00E13D1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3D1A"/>
  </w:style>
  <w:style w:type="paragraph" w:customStyle="1" w:styleId="BE28B70EC12F4932AAC33F96D2733ED2">
    <w:name w:val="BE28B70EC12F4932AAC33F96D2733ED2"/>
    <w:rsid w:val="00AC27EE"/>
  </w:style>
  <w:style w:type="paragraph" w:customStyle="1" w:styleId="4EE73BE20D0E4C5CA40B0399CBDAD17F">
    <w:name w:val="4EE73BE20D0E4C5CA40B0399CBDAD17F"/>
    <w:rsid w:val="00E13D1A"/>
    <w:pPr>
      <w:widowControl w:val="0"/>
      <w:wordWrap w:val="0"/>
      <w:autoSpaceDE w:val="0"/>
      <w:autoSpaceDN w:val="0"/>
      <w:jc w:val="both"/>
    </w:pPr>
    <w:rPr>
      <w:kern w:val="2"/>
      <w:sz w:val="20"/>
    </w:rPr>
  </w:style>
  <w:style w:type="paragraph" w:customStyle="1" w:styleId="AE8EA7E9005745EB870869DF1208172D">
    <w:name w:val="AE8EA7E9005745EB870869DF1208172D"/>
    <w:rsid w:val="00E13D1A"/>
    <w:pPr>
      <w:widowControl w:val="0"/>
      <w:wordWrap w:val="0"/>
      <w:autoSpaceDE w:val="0"/>
      <w:autoSpaceDN w:val="0"/>
      <w:jc w:val="both"/>
    </w:pPr>
    <w:rPr>
      <w:kern w:val="2"/>
      <w:sz w:val="20"/>
    </w:rPr>
  </w:style>
  <w:style w:type="paragraph" w:customStyle="1" w:styleId="9CBEE7EFDBBF41C9AAB99171C438D139">
    <w:name w:val="9CBEE7EFDBBF41C9AAB99171C438D139"/>
    <w:rsid w:val="00E13D1A"/>
    <w:pPr>
      <w:widowControl w:val="0"/>
      <w:wordWrap w:val="0"/>
      <w:autoSpaceDE w:val="0"/>
      <w:autoSpaceDN w:val="0"/>
      <w:jc w:val="both"/>
    </w:pPr>
    <w:rPr>
      <w:kern w:val="2"/>
      <w:sz w:val="20"/>
    </w:rPr>
  </w:style>
  <w:style w:type="paragraph" w:customStyle="1" w:styleId="A9E650F153D64287AC0EA22DC6D2336C">
    <w:name w:val="A9E650F153D64287AC0EA22DC6D2336C"/>
    <w:rsid w:val="00E13D1A"/>
    <w:pPr>
      <w:widowControl w:val="0"/>
      <w:wordWrap w:val="0"/>
      <w:autoSpaceDE w:val="0"/>
      <w:autoSpaceDN w:val="0"/>
      <w:jc w:val="both"/>
    </w:pPr>
    <w:rPr>
      <w:kern w:val="2"/>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5DC53B-E5C0-49B3-AD1A-9DDFFDBC3569}">
  <we:reference id="wa104382081" version="1.55.1.0" store="en-US" storeType="OMEX"/>
  <we:alternateReferences>
    <we:reference id="WA104382081" version="1.55.1.0" store="" storeType="OMEX"/>
  </we:alternateReferences>
  <we:properties>
    <we:property name="MENDELEY_CITATIONS" value="[{&quot;citationID&quot;:&quot;MENDELEY_CITATION_7d459f5f-5179-499d-ab06-a165f7dd9a33&quot;,&quot;properties&quot;:{&quot;noteIndex&quot;:0},&quot;isEdited&quot;:false,&quot;manualOverride&quot;:{&quot;isManuallyOverridden&quot;:false,&quot;citeprocText&quot;:&quot;[1]&quot;,&quot;manualOverrideText&quot;:&quot;&quot;},&quot;citationTag&quot;:&quot;MENDELEY_CITATION_v3_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&quot;,&quot;citationItems&quot;:[{&quot;id&quot;:&quot;5721812c-c846-30cd-9858-de60a51d99c9&quot;,&quot;itemData&quot;:{&quot;type&quot;:&quot;article-journal&quot;,&quot;id&quot;:&quot;5721812c-c846-30cd-9858-de60a51d99c9&quot;,&quot;title&quot;:&quot;Dual Ionic Pathways in Semi-Solid Electrolyte based on Binary Metal–Organic Frameworks Enable Stable Operation of Li-Metal Batteries at Extremely High Temperatures&quot;,&quot;author&quot;:[{&quot;family&quot;:&quot;Nguyen&quot;,&quot;given&quot;:&quot;Minh Hai&quot;,&quot;parse-names&quot;:false,&quot;dropping-particle&quot;:&quot;&quot;,&quot;non-dropping-particle&quot;:&quot;&quot;},{&quot;family&quot;:&quot;Ngo&quot;,&quot;given&quot;:&quot;Nhat Minh&quot;,&quot;parse-names&quot;:false,&quot;dropping-particle&quot;:&quot;&quot;,&quot;non-dropping-particle&quot;:&quot;&quot;},{&quot;family&quot;:&quot;Kim&quot;,&quot;given&quot;:&quot;Byung Kook&quot;,&quot;parse-names&quot;:false,&quot;dropping-particle&quot;:&quot;&quot;,&quot;non-dropping-particle&quot;:&quot;&quot;},{&quot;family&quot;:&quot;Park&quot;,&quot;given&quot;:&quot;Sangbaek&quot;,&quot;parse-names&quot;:false,&quot;dropping-particle&quot;:&quot;&quot;,&quot;non-dropping-particle&quot;:&quot;&quot;}],&quot;container-title&quot;:&quot;Advanced Science&quot;,&quot;accessed&quot;:{&quot;date-parts&quot;:[[2025,4,11]]},&quot;DOI&quot;:&quot;10.1002/ADVS.202407018&quot;,&quot;ISSN&quot;:&quot;2198-3844&quot;,&quot;URL&quot;:&quot;https://onlinelibrary.wiley.com/doi/full/10.1002/advs.202407018&quot;,&quot;issued&quot;:{&quot;date-parts&quot;:[[2024,11,1]]},&quot;page&quot;:&quot;2407018&quot;,&quot;abstract&quot;:&quot;The rapid development of the electronics market necessitates energy storage devices characterized by high energy density and capacity, alongside the ability to maintain stable and safe operation under harsh conditions, particularly elevated temperatures. In this study, a semi-solid-state electrolyte (SSSE) for Li-metal batteries (LMB) is synthesized by integrating metal–organic frameworks (MOFs) as host materials featuring a hierarchical pore structure. A trace amount of liquid electrolyte (LE) is entrapped within these pores through electrochemical activation. These findings demonstrate that this structure exhibits outstanding properties, including remarkably high thermal stability, an extended electrochemical window (5.25 V vs Li/Li+), and robust lithium-ion conductivity (2.04 × 10−4S cm−1), owing to the synergistic effect of the hierarchical MOF pores facilitating the storage and transport of Li ions. The Li//LiFePO4 cell incorporating prepared SSSE shows excellent capacity retention, retaining 97% (162.8 mAh g−1) of their initial capacity after 100 cycles at 1 C rate at an extremely high temperature of 95 °C. It is believed that this study not only advances the understanding of ion transport in MOF-based SSSE but also significantly contributes to the development of LMB capable of stable and safe operation even under extremely high temperatures.&quot;,&quot;publisher&quot;:&quot;John Wiley &amp; Sons, Ltd&quot;,&quot;issue&quot;:&quot;43&quot;,&quot;volume&quot;:&quot;11&quot;,&quot;container-title-short&quot;:&quot;&quot;},&quot;isTemporary&quot;:false}]},{&quot;citationID&quot;:&quot;MENDELEY_CITATION_df0b99dc-8947-48cc-9e4e-fcd5c859959d&quot;,&quot;properties&quot;:{&quot;noteIndex&quot;:0},&quot;isEdited&quot;:false,&quot;manualOverride&quot;:{&quot;isManuallyOverridden&quot;:false,&quot;citeprocText&quot;:&quot;[2–4]&quot;,&quot;manualOverrideText&quot;:&quot;&quot;},&quot;citationTag&quot;:&quot;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&quot;,&quot;citationItems&quot;:[{&quot;id&quot;:&quot;46e685b6-a2d5-3dac-bdff-5a13c2b97116&quot;,&quot;itemData&quot;:{&quot;type&quot;:&quot;article-journal&quot;,&quot;id&quot;:&quot;46e685b6-a2d5-3dac-bdff-5a13c2b97116&quot;,&quot;title&quot;:&quot;Flame-retardant strategy and mechanism of fiber reinforced polymeric composite: A review&quot;,&quot;author&quot;:[{&quot;family&quot;:&quot;Shi&quot;,&quot;given&quot;:&quot;Xiao Hui&quot;,&quot;parse-names&quot;:false,&quot;dropping-particle&quot;:&quot;&quot;,&quot;non-dropping-particle&quot;:&quot;&quot;},{&quot;family&quot;:&quot;Li&quot;,&quot;given&quot;:&quot;Xue Lin&quot;,&quot;parse-names&quot;:false,&quot;dropping-particle&quot;:&quot;&quot;,&quot;non-dropping-particle&quot;:&quot;&quot;},{&quot;family&quot;:&quot;Li&quot;,&quot;given&quot;:&quot;Ying Ming&quot;,&quot;parse-names&quot;:false,&quot;dropping-particle&quot;:&quot;&quot;,&quot;non-dropping-particle&quot;:&quot;&quot;},{&quot;family&quot;:&quot;Li&quot;,&quot;given&quot;:&quot;Zhi&quot;,&quot;parse-names&quot;:false,&quot;dropping-particle&quot;:&quot;&quot;,&quot;non-dropping-particle&quot;:&quot;&quot;},{&quot;family&quot;:&quot;Wang&quot;,&quot;given&quot;:&quot;De Yi&quot;,&quot;parse-names&quot;:false,&quot;dropping-particle&quot;:&quot;&quot;,&quot;non-dropping-particle&quot;:&quot;&quot;}],&quot;container-title&quot;:&quot;Composites Part B: Engineering&quot;,&quot;container-title-short&quot;:&quot;Compos B Eng&quot;,&quot;accessed&quot;:{&quot;date-parts&quot;:[[2025,4,11]]},&quot;DOI&quot;:&quot;10.1016/J.COMPOSITESB.2022.109663&quot;,&quot;ISSN&quot;:&quot;1359-8368&quot;,&quot;issued&quot;:{&quot;date-parts&quot;:[[2022,3,15]]},&quot;page&quot;:&quot;109663&quot;,&quot;abstract&quot;:&quot;Fiber reinforced polymeric composites (FRPCs) have been widely used in automotive, aircraft, airspace, marine and civil construction. However, they are flammable, thus seriously threating the safety of human beings and property. To enhance the flame retardancy of FRPCs, suitable flame-retardant treatments have been carried out, which is efficiency in enhancing the thermal stability and fire resistance. In this review, the thermal decomposition characteristic of FRPC is initially introduced to understand the necessity of flame retardnacy. Then, the flame-retardant requirements of FRPC in different applications are summarized to guide the selection of flame retardant and flame-retardant method. The main section concentrates on the flame-retardant method and mechanism as well as research status in flame retardation for FRPC. The flame-retardant methods to treat fiber, polymer and composites are discussed, and the advantages and limitations of each method are also introduced. Finally, a brief outlook at the development of the flame retardation for FRPC is summarized.&quot;,&quot;publisher&quot;:&quot;Elsevier&quot;,&quot;volume&quot;:&quot;233&quot;},&quot;isTemporary&quot;:false},{&quot;id&quot;:&quot;79b6f21c-6227-39d3-9a1e-ee4318c68988&quot;,&quot;itemData&quot;:{&quot;type&quot;:&quot;article-journal&quot;,&quot;id&quot;:&quot;79b6f21c-6227-39d3-9a1e-ee4318c68988&quot;,&quot;title&quot;:&quot;Interfacial modification between glass fiber and polypropylene using a novel waterborne amphiphilic sizing agent&quot;,&quot;author&quot;:[{&quot;family&quot;:&quot;Liu&quot;,&quot;given&quot;:&quot;Wei&quot;,&quot;parse-names&quot;:false,&quot;dropping-particle&quot;:&quot;&quot;,&quot;non-dropping-particle&quot;:&quot;&quot;},{&quot;family&quot;:&quot;Zhu&quot;,&quot;given&quot;:&quot;Yaofeng&quot;,&quot;parse-names&quot;:false,&quot;dropping-particle&quot;:&quot;&quot;,&quot;non-dropping-particle&quot;:&quot;&quot;},{&quot;family&quot;:&quot;Qian&quot;,&quot;given&quot;:&quot;Chen&quot;,&quot;parse-names&quot;:false,&quot;dropping-particle&quot;:&quot;&quot;,&quot;non-dropping-particle&quot;:&quot;&quot;},{&quot;family&quot;:&quot;Dai&quot;,&quot;given&quot;:&quot;Hongbo&quot;,&quot;parse-names&quot;:false,&quot;dropping-particle&quot;:&quot;&quot;,&quot;non-dropping-particle&quot;:&quot;&quot;},{&quot;family&quot;:&quot;Fu&quot;,&quot;given&quot;:&quot;Yaqin&quot;,&quot;parse-names&quot;:false,&quot;dropping-particle&quot;:&quot;&quot;,&quot;non-dropping-particle&quot;:&quot;&quot;},{&quot;family&quot;:&quot;Dong&quot;,&quot;given&quot;:&quot;Yubing&quot;,&quot;parse-names&quot;:false,&quot;dropping-particle&quot;:&quot;&quot;,&quot;non-dropping-particle&quot;:&quot;&quot;}],&quot;container-title&quot;:&quot;Composites Part B: Engineering&quot;,&quot;container-title-short&quot;:&quot;Compos B Eng&quot;,&quot;accessed&quot;:{&quot;date-parts&quot;:[[2025,4,11]]},&quot;DOI&quot;:&quot;10.1016/J.COMPOSITESB.2022.110029&quot;,&quot;ISSN&quot;:&quot;1359-8368&quot;,&quot;issued&quot;:{&quot;date-parts&quot;:[[2022,7,15]]},&quot;page&quot;:&quot;110029&quot;,&quot;abstract&quot;:&quot;High performance structural applications of utilizing glass fiber (GF) reinforced polypropylene (PP) composites are normally hindered by the notoriously weak interfacial bonding between GF and PP resulting from their chemical inertness and the great mismatch in surface energies of both raw materials. Tremendous efforts have been made on the development of fiber sizing agents for interfacial modifications of GF-PP composites, since a viable sizing agent can directly build robust and efficient coupling interface between GF and PP, enabling effective stress transfer between fiber and matrix. Herein, this paper reports an interfacial modification methodology of using a novel amphiphilic sizing agent that is a polyacrylate-based waterborne coating synthesized strategically following a one-step reversible addition-fragmentation chain-transfer (RAFT)-mediated polymerization-induced self-assemble (PISA) approach. Specifically, after the proposed sizing treatment the surface energy of the sized GF surface decreases from 74.51 mJ·m−2 (of the typical pristine GF surface) to 56.43 mJ·m−2, approaching to 30.2 mJ·m−2 (of the raw PP) and enabling strong possibility of facilitating GF-PP interfacial compatibility. Additionally, the GF-PP interfacial shear strength (IFSS) evaluated by single-fiber fragmentation tests increases from 8.34 MPa (for bare GF) and 11.14 MPa (for commercial GF) to 17.62 MPa for the sized GF. Notably, a series of the sized short GF/PP composite coupons were fabricated and demonstrates promoted tensile and flexural properties, validating the effectiveness and scalability of the proposed GF/PP interfacial treatment. We believe that this amphiphilic polyacrylate-based sizing agent can serve as an effective GF-PP interfacial modifier, offering great potential for practical applications of developing high performance GF-PP composites.&quot;,&quot;publisher&quot;:&quot;Elsevier&quot;,&quot;volume&quot;:&quot;241&quot;},&quot;isTemporary&quot;:false},{&quot;id&quot;:&quot;4cfaa52e-b9ab-32b3-bacf-4d503adae039&quot;,&quot;itemData&quot;:{&quot;type&quot;:&quot;article-journal&quot;,&quot;id&quot;:&quot;4cfaa52e-b9ab-32b3-bacf-4d503adae039&quot;,&quot;title&quot;:&quot;Recent Progress in Modifications, Properties, and Practical Applications of Glass Fiber&quot;,&quot;author&quot;:[{&quot;family&quot;:&quot;Wu&quot;,&quot;given&quot;:&quot;Yawen&quot;,&quot;parse-names&quot;:false,&quot;dropping-particle&quot;:&quot;&quot;,&quot;non-dropping-particle&quot;:&quot;&quot;},{&quot;family&quot;:&quot;Song&quot;,&quot;given&quot;:&quot;Yangyang&quot;,&quot;parse-names&quot;:false,&quot;dropping-particle&quot;:&quot;&quot;,&quot;non-dropping-particle&quot;:&quot;&quot;},{&quot;family&quot;:&quot;Wu&quot;,&quot;given&quot;:&quot;Di&quot;,&quot;parse-names&quot;:false,&quot;dropping-particle&quot;:&quot;&quot;,&quot;non-dropping-particle&quot;:&quot;&quot;},{&quot;family&quot;:&quot;Mao&quot;,&quot;given&quot;:&quot;Xiaowei&quot;,&quot;parse-names&quot;:false,&quot;dropping-particle&quot;:&quot;&quot;,&quot;non-dropping-particle&quot;:&quot;&quot;},{&quot;family&quot;:&quot;Yang&quot;,&quot;given&quot;:&quot;Xiuling&quot;,&quot;parse-names&quot;:false,&quot;dropping-particle&quot;:&quot;&quot;,&quot;non-dropping-particle&quot;:&quot;&quot;},{&quot;family&quot;:&quot;Jiang&quot;,&quot;given&quot;:&quot;Shaohua&quot;,&quot;parse-names&quot;:false,&quot;dropping-particle&quot;:&quot;&quot;,&quot;non-dropping-particle&quot;:&quot;&quot;},{&quot;family&quot;:&quot;Zhang&quot;,&quot;given&quot;:&quot;Chunmei&quot;,&quot;parse-names&quot;:false,&quot;dropping-particle&quot;:&quot;&quot;,&quot;non-dropping-particle&quot;:&quot;&quot;},{&quot;family&quot;:&quot;Guo&quot;,&quot;given&quot;:&quot;Rui&quot;,&quot;parse-names&quot;:false,&quot;dropping-particle&quot;:&quot;&quot;,&quot;non-dropping-particle&quot;:&quot;&quot;}],&quot;container-title&quot;:&quot;Molecules 2023, Vol. 28, Page 2466&quot;,&quot;accessed&quot;:{&quot;date-parts&quot;:[[2025,4,11]]},&quot;DOI&quot;:&quot;10.3390/MOLECULES28062466&quot;,&quot;ISSN&quot;:&quot;1420-3049&quot;,&quot;PMID&quot;:&quot;36985440&quot;,&quot;URL&quot;:&quot;https://www.mdpi.com/1420-3049/28/6/2466/htm&quot;,&quot;issued&quot;:{&quot;date-parts&quot;:[[2023,3,8]]},&quot;page&quot;:&quot;2466&quot;,&quot;abstract&quot;:&quot;As a new member of the silica-derivative family, modified glass fiber (MGF) has attracted extensive attention because of its excellent properties and potential applications. Surface modification of glass fiber (GF) greatly changes its performance, resulting in a series of changes to its surface structure, wettability, electrical properties, mechanical properties, and stability. This article summarizes the latest research progress in MGF, including the different modification methods, the various properties, and their advanced applications in different fields. Finally, the challenges and possible solutions were provided for future investigations of MGF.&quot;,&quot;publisher&quot;:&quot;Multidisciplinary Digital Publishing Institute&quot;,&quot;issue&quot;:&quot;6&quot;,&quot;volume&quot;:&quot;28&quot;,&quot;container-title-short&quot;:&quot;&quot;},&quot;isTemporary&quot;:false}]},{&quot;citationID&quot;:&quot;MENDELEY_CITATION_94c23ac3-c442-4df5-92ad-7302640655ed&quot;,&quot;properties&quot;:{&quot;noteIndex&quot;:0},&quot;isEdited&quot;:false,&quot;manualOverride&quot;:{&quot;isManuallyOverridden&quot;:false,&quot;citeprocText&quot;:&quot;[5–7]&quot;,&quot;manualOverrideText&quot;:&quot;&quot;},&quot;citationTag&quot;:&quot;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&quot;,&quot;citationItems&quot;:[{&quot;id&quot;:&quot;8a49c93b-765d-3e82-b3ff-981254375881&quot;,&quot;itemData&quot;:{&quot;type&quot;:&quot;article-journal&quot;,&quot;id&quot;:&quot;8a49c93b-765d-3e82-b3ff-981254375881&quot;,&quot;title&quot;:&quot;Amino Acid Metabolism&quot;,&quot;author&quot;:[{&quot;family&quot;:&quot;Newsholme&quot;,&quot;given&quot;:&quot;P.&quot;,&quot;parse-names&quot;:false,&quot;dropping-particle&quot;:&quot;&quot;,&quot;non-dropping-particle&quot;:&quot;&quot;},{&quot;family&quot;:&quot;Stenson&quot;,&quot;given&quot;:&quot;L.&quot;,&quot;parse-names&quot;:false,&quot;dropping-particle&quot;:&quot;&quot;,&quot;non-dropping-particle&quot;:&quot;&quot;},{&quot;family&quot;:&quot;Sulvucci&quot;,&quot;given&quot;:&quot;M.&quot;,&quot;parse-names&quot;:false,&quot;dropping-particle&quot;:&quot;&quot;,&quot;non-dropping-particle&quot;:&quot;&quot;},{&quot;family&quot;:&quot;Sumayao&quot;,&quot;given&quot;:&quot;R.&quot;,&quot;parse-names&quot;:false,&quot;dropping-particle&quot;:&quot;&quot;,&quot;non-dropping-particle&quot;:&quot;&quot;},{&quot;family&quot;:&quot;Krause&quot;,&quot;given&quot;:&quot;M.&quot;,&quot;parse-names&quot;:false,&quot;dropping-particle&quot;:&quot;&quot;,&quot;non-dropping-particle&quot;:&quot;&quot;}],&quot;container-title&quot;:&quot;Comprehensive Biotechnology, Second Edition&quot;,&quot;accessed&quot;:{&quot;date-parts&quot;:[[2025,4,11]]},&quot;DOI&quot;:&quot;10.1016/B978-0-08-088504-9.00002-7&quot;,&quot;ISBN&quot;:&quot;9780080885049&quot;,&quot;issued&quot;:{&quot;date-parts&quot;:[[2011,1,1]]},&quot;page&quot;:&quot;3-14&quot;,&quot;abstract&quot;:&quot;Amino acids are fundamental molecules of life. Amino acids contain an amine group, a carboxylic acid group, and a side chain (R) that varies between different amino acids. Amino acids contain the key elements of carbon, hydrogen, oxygen, and nitrogen. In an alpha amino acid, the amino group is attached to the carbon atom immediately adjacent to the carboxylate group. The various alpha amino acids differ according to R group, which is attached to their alpha carbon and these can vary in size from just one hydrogen atom as in glycine to large heterocyclic groups such as in tryptophan. Amino acids are important as building blocks of proteins that are linear chains of amino acids. Every protein is chemically defined by the order of amino acid residues. Amino acids are also important in many other biological molecules (e.g., they play vital roles in coenzymes, neurotransmitters, or hormones). They are also used in industry where applications include the production of drugs, chiral catalysts, and biodegradable plastics.&quot;,&quot;publisher&quot;:&quot;Academic Press&quot;,&quot;volume&quot;:&quot;1&quot;,&quot;container-title-short&quot;:&quot;&quot;},&quot;isTemporary&quot;:false},{&quot;id&quot;:&quot;f5a78f18-8dfc-3eaf-9137-f8980f2cc4d3&quot;,&quot;itemData&quot;:{&quot;type&quot;:&quot;article-journal&quot;,&quot;id&quot;:&quot;f5a78f18-8dfc-3eaf-9137-f8980f2cc4d3&quot;,&quot;title&quot;:&quot;Biofunctionalization of Natural Fiber-Reinforced Biocomposites for Biomedical Applications&quot;,&quot;author&quot;:[{&quot;family&quot;:&quot;Tavares&quot;,&quot;given&quot;:&quot;Tânia D.&quot;,&quot;parse-names&quot;:false,&quot;dropping-particle&quot;:&quot;&quot;,&quot;non-dropping-particle&quot;:&quot;&quot;},{&quot;family&quot;:&quot;Antunes&quot;,&quot;given&quot;:&quot;Joana C.&quot;,&quot;parse-names&quot;:false,&quot;dropping-particle&quot;:&quot;&quot;,&quot;non-dropping-particle&quot;:&quot;&quot;},{&quot;family&quot;:&quot;Ferreira&quot;,&quot;given&quot;:&quot;Fernando&quot;,&quot;parse-names&quot;:false,&quot;dropping-particle&quot;:&quot;&quot;,&quot;non-dropping-particle&quot;:&quot;&quot;},{&quot;family&quot;:&quot;Felgueiras&quot;,&quot;given&quot;:&quot;Helena P.&quot;,&quot;parse-names&quot;:false,&quot;dropping-particle&quot;:&quot;&quot;,&quot;non-dropping-particle&quot;:&quot;&quot;}],&quot;container-title&quot;:&quot;Biomolecules 2020, Vol. 10, Page 148&quot;,&quot;accessed&quot;:{&quot;date-parts&quot;:[[2025,4,11]]},&quot;DOI&quot;:&quot;10.3390/BIOM10010148&quot;,&quot;ISSN&quot;:&quot;2218-273X&quot;,&quot;PMID&quot;:&quot;31963279&quot;,&quot;URL&quot;:&quot;https://www.mdpi.com/2218-273X/10/1/148/htm&quot;,&quot;issued&quot;:{&quot;date-parts&quot;:[[2020,1,16]]},&quot;page&quot;:&quot;148&quot;,&quot;abstract&quot;:&quot;In the last ten years, environmental consciousness has increased worldwide, leading to the development of eco-friendly materials to replace synthetic ones. Natural fibers are extracted from renewable resources at low cost. Their combination with synthetic polymers as reinforcement materials has been an important step forward in that direction. The sustainability and excellent physical and biological (e.g., biocompatibility, antimicrobial activity) properties of these biocomposites have extended their application to the biomedical field. This paper offers a detailed overview of the extraction and separation processes applied to natural fibers and their posterior chemical and physical modifications for biocomposite fabrication. Because of the requirements for biomedical device production, specialized biomolecules are currently being incorporated onto these biocomposites. From antibiotics to peptides and plant extracts, to name a few, this review explores their impact on the final biocomposite product, in light of their individual or combined effect, and analyzes the most recurrent strategies for biomolecule immobilization.&quot;,&quot;publisher&quot;:&quot;Multidisciplinary Digital Publishing Institute&quot;,&quot;issue&quot;:&quot;1&quot;,&quot;volume&quot;:&quot;10&quot;,&quot;container-title-short&quot;:&quot;&quot;},&quot;isTemporary&quot;:false},{&quot;id&quot;:&quot;c2aae41b-b649-3973-b26d-18c8ac1b42a8&quot;,&quot;itemData&quot;:{&quot;type&quot;:&quot;article-journal&quot;,&quot;id&quot;:&quot;c2aae41b-b649-3973-b26d-18c8ac1b42a8&quot;,&quot;title&quot;:&quot;Fibrous keratin protein bio micro structure for efficient removal of hazardous dye waste from water: Surface charge mediated interfaces for multiple adsorption desorption cycles&quot;,&quot;author&quot;:[{&quot;family&quot;:&quot;Tissera&quot;,&quot;given&quot;:&quot;Nadeeka D.&quot;,&quot;parse-names&quot;:false,&quot;dropping-particle&quot;:&quot;&quot;,&quot;non-dropping-particle&quot;:&quot;&quot;},{&quot;family&quot;:&quot;Wijesena&quot;,&quot;given&quot;:&quot;Ruchira N.&quot;,&quot;parse-names&quot;:false,&quot;dropping-particle&quot;:&quot;&quot;,&quot;non-dropping-particle&quot;:&quot;&quot;},{&quot;family&quot;:&quot;Yasasri&quot;,&quot;given&quot;:&quot;Harini&quot;,&quot;parse-names&quot;:false,&quot;dropping-particle&quot;:&quot;&quot;,&quot;non-dropping-particle&quot;:&quot;&quot;},{&quot;family&quot;:&quot;Silva&quot;,&quot;given&quot;:&quot;K. M.Nalin&quot;,&quot;parse-names&quot;:false,&quot;dropping-particle&quot;:&quot;&quot;,&quot;non-dropping-particle&quot;:&quot;de&quot;},{&quot;family&quot;:&quot;Silva&quot;,&quot;given&quot;:&quot;Rohini M.&quot;,&quot;parse-names&quot;:false,&quot;dropping-particle&quot;:&quot;&quot;,&quot;non-dropping-particle&quot;:&quot;de&quot;}],&quot;container-title&quot;:&quot;Materials Chemistry and Physics&quot;,&quot;container-title-short&quot;:&quot;Mater Chem Phys&quot;,&quot;accessed&quot;:{&quot;date-parts&quot;:[[2025,4,11]]},&quot;DOI&quot;:&quot;10.1016/J.MATCHEMPHYS.2020.122790&quot;,&quot;ISSN&quot;:&quot;0254-0584&quot;,&quot;issued&quot;:{&quot;date-parts&quot;:[[2020,5,1]]},&quot;page&quot;:&quot;122790&quot;,&quot;abstract&quot;:&quot;For the first time we report fabrication of a keratin protein based bio material for efficient removal of hazardous dye waste from water using merino wool fibers. Surface hydrolysed keratin protein fibers were prepared by subjecting merino wool fibers to controlled hydrolysis. During the hydrolysis the cuticle cells which sheath the hierarchical microstructure of the wool fibers were denatured. This has resulted in exposing ortho cortex of the fibers with comparatively higher degree of free amine and other surface functional groups which were confirmed by the SEM, EDX, AFM, FT-IR, NMR and CHNS analysis. The material showed exceptional adsorption capacities for carcinogenic Rhodamine B dye in the presence of acetic acid. Under optimized conditions, the surface hydrolysed keratin protein fibers showed ~95% of dye adsorption with maximum adsorption capacity of 294 mg/g at 298 K, in the presence of 3.5% acetic acid. This is the highest reported for the Rodhamine dye adsorption at similar conditions using other dye adsorption methods. Adsorption isotherm studies and Scatchard analysis of the isotherms were carried out to understand the binding mechanism of the dye molecules to the keratin protein fiber material. The main chemical attractions were found to be due to the free amine and carboxylic functionalities presence in the hydrolysed wool fiber material. Also it was observed to have charge induced adsorption and desorption which were driven mainly due to the protonation and deprotonation of the amine groups present in the keratin protein fibers. It is also confirmed that keratin protein fiber can be used for multiple times for adsorption of the dye molecules from an aqueous medium. Combining the high adsorption capacity and recyclability, surface hydrolysed keratin protein fibers prepared from merino wool can be a promising bio material to remove Rhodamine B dye from an aqueous medium modulated by acetic acid.&quot;,&quot;publisher&quot;:&quot;Elsevier&quot;,&quot;volume&quot;:&quot;246&quot;},&quot;isTemporary&quot;:false}]},{&quot;citationID&quot;:&quot;MENDELEY_CITATION_5408ff75-78b3-4c99-a088-d3bc5b121293&quot;,&quot;properties&quot;:{&quot;noteIndex&quot;:0},&quot;isEdited&quot;:false,&quot;manualOverride&quot;:{&quot;isManuallyOverridden&quot;:false,&quot;citeprocText&quot;:&quot;[8]&quot;,&quot;manualOverrideText&quot;:&quot;&quot;},&quot;citationTag&quot;:&quot;MENDELEY_CITATION_v3_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&quot;,&quot;citationItems&quot;:[{&quot;id&quot;:&quot;63636987-2ded-3952-b246-1b9f2ee58427&quot;,&quot;itemData&quot;:{&quot;type&quot;:&quot;article-journal&quot;,&quot;id&quot;:&quot;63636987-2ded-3952-b246-1b9f2ee58427&quot;,&quot;title&quot;:&quot;Peptide-protein based nanofibers in pharmaceutical and biomedical applications&quot;,&quot;author&quot;:[{&quot;family&quot;:&quot;Yıldız&quot;,&quot;given&quot;:&quot;Ayşegül&quot;,&quot;parse-names&quot;:false,&quot;dropping-particle&quot;:&quot;&quot;,&quot;non-dropping-particle&quot;:&quot;&quot;},{&quot;family&quot;:&quot;Kara&quot;,&quot;given&quot;:&quot;Adnan Altuğ&quot;,&quot;parse-names&quot;:false,&quot;dropping-particle&quot;:&quot;&quot;,&quot;non-dropping-particle&quot;:&quot;&quot;},{&quot;family&quot;:&quot;Acartürk&quot;,&quot;given&quot;:&quot;Füsun&quot;,&quot;parse-names&quot;:false,&quot;dropping-particle&quot;:&quot;&quot;,&quot;non-dropping-particle&quot;:&quot;&quot;}],&quot;container-title&quot;:&quot;International Journal of Biological Macromolecules&quot;,&quot;container-title-short&quot;:&quot;Int J Biol Macromol&quot;,&quot;accessed&quot;:{&quot;date-parts&quot;:[[2025,4,11]]},&quot;DOI&quot;:&quot;10.1016/J.IJBIOMAC.2019.12.275&quot;,&quot;ISSN&quot;:&quot;0141-8130&quot;,&quot;PMID&quot;:&quot;31917213&quot;,&quot;issued&quot;:{&quot;date-parts&quot;:[[2020,4,1]]},&quot;page&quot;:&quot;1084-1097&quot;,&quot;abstract&quot;:&quot;In recent years, electrospun fibers have found wide use, especially in pharmaceutical area and biomedical applications, related to the various advantages such as high surface-volume ratio, high solubility and having wide usage areas they have provided. Biocompatible and biodegradable fibers can be obtained by using peptide-protein structures of plant and animal derived along with synthetic polymers. Plant-derived proteins used in nanofiber production can be listed as, zein, soy protein, and gluten and animal derived proteins can be listed as casein, silk fibroin, hemoglobine, bovine serum albumin, elastin, collagen, gelatin, and keratin. Plant and animal proteins and synthetic peptides used in electrospun fiber production were reviewed in detail. In addition, the important physical properties of these materials for the electrospinning process and their use in pharmaceutical and biomedical areas were discussed.&quot;,&quot;publisher&quot;:&quot;Elsevier&quot;,&quot;volume&quot;:&quot;148&quot;},&quot;isTemporary&quot;:false}]},{&quot;citationID&quot;:&quot;MENDELEY_CITATION_63b80a7a-19c6-4975-aa34-9160058bb258&quot;,&quot;properties&quot;:{&quot;noteIndex&quot;:0},&quot;isEdited&quot;:false,&quot;manualOverride&quot;:{&quot;isManuallyOverridden&quot;:false,&quot;citeprocText&quot;:&quot;[9–11]&quot;,&quot;manualOverrideText&quot;:&quot;&quot;},&quot;citationTag&quot;:&quot;MENDELEY_CITATION_v3_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&quot;,&quot;citationItems&quot;:[{&quot;id&quot;:&quot;f2b9f9e6-3379-36df-9e46-236a37e98507&quot;,&quot;itemData&quot;:{&quot;type&quot;:&quot;article-journal&quot;,&quot;id&quot;:&quot;f2b9f9e6-3379-36df-9e46-236a37e98507&quot;,&quot;title&quot;:&quot;Targeted delivery of albumin nanoparticles for breast cancer: A review&quot;,&quot;author&quot;:[{&quot;family&quot;:&quot;Kunde&quot;,&quot;given&quot;:&quot;Shalvi Sinai&quot;,&quot;parse-names&quot;:false,&quot;dropping-particle&quot;:&quot;&quot;,&quot;non-dropping-particle&quot;:&quot;&quot;},{&quot;family&quot;:&quot;Wairkar&quot;,&quot;given&quot;:&quot;Sarika&quot;,&quot;parse-names&quot;:false,&quot;dropping-particle&quot;:&quot;&quot;,&quot;non-dropping-particle&quot;:&quot;&quot;}],&quot;container-title&quot;:&quot;Colloids and Surfaces B: Biointerfaces&quot;,&quot;container-title-short&quot;:&quot;Colloids Surf B Biointerfaces&quot;,&quot;accessed&quot;:{&quot;date-parts&quot;:[[2025,4,11]]},&quot;DOI&quot;:&quot;10.1016/J.COLSURFB.2022.112422&quot;,&quot;ISSN&quot;:&quot;0927-7765&quot;,&quot;PMID&quot;:&quot;35231688&quot;,&quot;issued&quot;:{&quot;date-parts&quot;:[[2022,5,1]]},&quot;page&quot;:&quot;112422&quot;,&quot;abstract&quot;:&quot;Breast cancer has been identified as one of the most common cancers diagnosed in women. Various nanotechnology platforms offering unique features are considered in breast cancer treatment. Albumin is a versatile biodegradable, biocompatible, non-toxic and non-immunogenic protein nanocarrier. These characteristics attracted strong attention to fabricate albumin nanoparticles to deliver chemotherapeutic agents without major adverse effects. Albumin nanoparticles can undergo surface modifications using different ligands promoting tumor-targeted drug delivery. Moreover, multifunctional albumin nanoparticle is an upcoming strategy to attain efficient cancer therapy. This review gives an account of the potential albumin nanoparticles developed for chemotherapeutic drug delivery and its targeted approach for breast cancer. It also covers different multifunctional therapies available using albumin nanoparticles as breast cancer theranostics.&quot;,&quot;publisher&quot;:&quot;Elsevier&quot;,&quot;volume&quot;:&quot;213&quot;},&quot;isTemporary&quot;:false},{&quot;id&quot;:&quot;5901a7cd-6d06-380f-8a6a-431149af153d&quot;,&quot;itemData&quot;:{&quot;type&quot;:&quot;article-journal&quot;,&quot;id&quot;:&quot;5901a7cd-6d06-380f-8a6a-431149af153d&quot;,&quot;title&quot;:&quot;Albumin based versatile multifunctional nanocarriers for cancer therapy: Fabrication, surface modification, multimodal therapeutics and imaging approaches&quot;,&quot;author&quot;:[{&quot;family&quot;:&quot;Kudarha&quot;,&quot;given&quot;:&quot;Ritu R.&quot;,&quot;parse-names&quot;:false,&quot;dropping-particle&quot;:&quot;&quot;,&quot;non-dropping-particle&quot;:&quot;&quot;},{&quot;family&quot;:&quot;Sawant&quot;,&quot;given&quot;:&quot;Krutika K.&quot;,&quot;parse-names&quot;:false,&quot;dropping-particle&quot;:&quot;&quot;,&quot;non-dropping-particle&quot;:&quot;&quot;}],&quot;container-title&quot;:&quot;Materials Science and Engineering: C&quot;,&quot;accessed&quot;:{&quot;date-parts&quot;:[[2025,4,11]]},&quot;DOI&quot;:&quot;10.1016/J.MSEC.2017.08.004&quot;,&quot;ISSN&quot;:&quot;0928-4931&quot;,&quot;PMID&quot;:&quot;28888016&quot;,&quot;issued&quot;:{&quot;date-parts&quot;:[[2017,12,1]]},&quot;page&quot;:&quot;607-626&quot;,&quot;abstract&quot;:&quot;Albumin is a versatile protein used as a carrier system for cancer therapeutics. As a carrier it can provide tumor specificity, reduce drug related toxicity, maintain therapeutic concentration of the active moiety like drug, gene, peptide, protein etc. for long period of time and also reduce drug related toxicities. Apart from cancer therapy, it is also utilized in the imaging and multimodal therapy of cancer. This review highlights the important properties, structure and types of albumin based nanocarriers with regards to their use for cancer targeting. It also provides brief discussion on methods of preparation of these nanocarriers and their surface modification. Applications of albumin nanocarriers for cancer therapy, gene delivery, imaging, phototherapy and multimodal therapy have also been discussed. This review also provides brief discussion about albumin based marketed nano formulations and those under clinical trials.&quot;,&quot;publisher&quot;:&quot;Elsevier&quot;,&quot;volume&quot;:&quot;81&quot;,&quot;container-title-short&quot;:&quot;&quot;},&quot;isTemporary&quot;:false},{&quot;id&quot;:&quot;504c8722-d9df-37f3-a24e-1cf206a8b881&quot;,&quot;itemData&quot;:{&quot;type&quot;:&quot;article-journal&quot;,&quot;id&quot;:&quot;504c8722-d9df-37f3-a24e-1cf206a8b881&quot;,&quot;title&quot;:&quot;Albumin-based nanoparticles as potential controlled release drug delivery systems&quot;,&quot;author&quot;:[{&quot;family&quot;:&quot;Elzoghby&quot;,&quot;given&quot;:&quot;Ahmed O.&quot;,&quot;parse-names&quot;:false,&quot;dropping-particle&quot;:&quot;&quot;,&quot;non-dropping-particle&quot;:&quot;&quot;},{&quot;family&quot;:&quot;Samy&quot;,&quot;given&quot;:&quot;Wael M.&quot;,&quot;parse-names&quot;:false,&quot;dropping-particle&quot;:&quot;&quot;,&quot;non-dropping-particle&quot;:&quot;&quot;},{&quot;family&quot;:&quot;Elgindy&quot;,&quot;given&quot;:&quot;Nazik A.&quot;,&quot;parse-names&quot;:false,&quot;dropping-particle&quot;:&quot;&quot;,&quot;non-dropping-particle&quot;:&quot;&quot;}],&quot;container-title&quot;:&quot;Journal of Controlled Release&quot;,&quot;accessed&quot;:{&quot;date-parts&quot;:[[2025,4,11]]},&quot;DOI&quot;:&quot;10.1016/J.JCONREL.2011.07.031&quot;,&quot;ISSN&quot;:&quot;0168-3659&quot;,&quot;PMID&quot;:&quot;21839127&quot;,&quot;issued&quot;:{&quot;date-parts&quot;:[[2012,1,30]]},&quot;page&quot;:&quot;168-182&quot;,&quot;abstract&quot;:&quot;Albumin, a versatile protein carrier for drug delivery, has been shown to be nontoxic, non-immunogenic, biocompatible and biodegradable. Therefore, it is ideal material to fabricate nanoparticles for drug delivery. Albumin nanoparticles have gained considerable attention owing to their high binding capacity of various drugs and being well tolerated without any serious side-effects. The current review embodies an in-depth discussion of albumin nanoparticles with respect to types, formulation aspects, major outcomes of in vitro and in vivo investigations as well as site-specific drug targeting using various ligands modifying the surface of albumin nanoparticles with special insights to the field of oncology. Specialized nanotechnological techniques like desolvation, emulsification, thermal gelation and recently nano-spray drying, nab-technology and self-assembly that have been investigated for fabrication of albumin nanoparticles, are also discussed. Nanocomplexes of albumin with other components in the area of drug delivery are also included in this review. © 2011 Elsevier Ltd. All rights reserved.&quot;,&quot;publisher&quot;:&quot;Elsevier&quot;,&quot;issue&quot;:&quot;2&quot;,&quot;volume&quot;:&quot;157&quot;,&quot;container-title-short&quot;:&quot;&quot;},&quot;isTemporary&quot;:false}]},{&quot;citationID&quot;:&quot;MENDELEY_CITATION_9b5bb507-f86f-403e-b690-6a98d94f3fee&quot;,&quot;properties&quot;:{&quot;noteIndex&quot;:0},&quot;isEdited&quot;:false,&quot;manualOverride&quot;:{&quot;isManuallyOverridden&quot;:false,&quot;citeprocText&quot;:&quot;[12,13]&quot;,&quot;manualOverrideText&quot;:&quot;&quot;},&quot;citationTag&quot;:&quot;MENDELEY_CITATION_v3_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&quot;,&quot;citationItems&quot;:[{&quot;id&quot;:&quot;4f3754a8-9d49-3bcf-968d-b21aa34e0595&quot;,&quot;itemData&quot;:{&quot;type&quot;:&quot;article-journal&quot;,&quot;id&quot;:&quot;4f3754a8-9d49-3bcf-968d-b21aa34e0595&quot;,&quot;title&quot;:&quot;In Situ Polymerization on a 3D Ceramic Framework of Composite Solid Electrolytes for Room-Temperature Solid-State Batteries&quot;,&quot;author&quot;:[{&quot;family&quot;:&quot;Nguyen&quot;,&quot;given&quot;:&quot;An Giang&quot;,&quot;parse-names&quot;:false,&quot;dropping-particle&quot;:&quot;&quot;,&quot;non-dropping-particle&quot;:&quot;&quot;},{&quot;family&quot;:&quot;Verma&quot;,&quot;given&quot;:&quot;Rakesh&quot;,&quot;parse-names&quot;:false,&quot;dropping-particle&quot;:&quot;&quot;,&quot;non-dropping-particle&quot;:&quot;&quot;},{&quot;family&quot;:&quot;Song&quot;,&quot;given&quot;:&quot;Geon Chang&quot;,&quot;parse-names&quot;:false,&quot;dropping-particle&quot;:&quot;&quot;,&quot;non-dropping-particle&quot;:&quot;&quot;},{&quot;family&quot;:&quot;Kim&quot;,&quot;given&quot;:&quot;Jaekook&quot;,&quot;parse-names&quot;:false,&quot;dropping-particle&quot;:&quot;&quot;,&quot;non-dropping-particle&quot;:&quot;&quot;},{&quot;family&quot;:&quot;Park&quot;,&quot;given&quot;:&quot;Chan Jin&quot;,&quot;parse-names&quot;:false,&quot;dropping-particle&quot;:&quot;&quot;,&quot;non-dropping-particle&quot;:&quot;&quot;}],&quot;container-title&quot;:&quot;Advanced Science&quot;,&quot;accessed&quot;:{&quot;date-parts&quot;:[[2025,4,11]]},&quot;DOI&quot;:&quot;10.1002/ADVS.202207744&quot;,&quot;ISSN&quot;:&quot;2198-3844&quot;,&quot;PMID&quot;:&quot;37199696&quot;,&quot;URL&quot;:&quot;https://onlinelibrary.wiley.com/doi/full/10.1002/advs.202207744&quot;,&quot;issued&quot;:{&quot;date-parts&quot;:[[2023,7,1]]},&quot;page&quot;:&quot;2207744&quot;,&quot;abstract&quot;:&quot;Solid-state batteries (SSBs) are ideal candidates for next-generation high-energy-density batteries in the Battery of Things era. Unfortunately, SSB application is limited by their poor ionic conductivity and electrode-electrolyte interfacial compatibility. Herein, in situ composite solid electrolytes (CSEs) are fabricated by infusing vinyl ethylene carbonate monomer into a 3D ceramic framework to address these challenges. The unique and integrated structure of CSEs generates inorganic, polymer, and continuous inorganic–polymer interphase pathways that accelerate ion transportation, as revealed by solid-state nuclear magnetic resonance (SSNMR) analysis. In addition, the mechanism and activation energy of Li+ transportation are studied and visualized by performing density functional theory calculations. Furthermore, the monomer solution can penetrate and polymerize in situ to form an excellent ionic conductor network inside the cathode structure. This concept is successfully applied to both solid-state lithium and sodium batteries. The Li|CSE|LiNi0.8Co0.1Mn0.1O2 cell fabricated herein delivers a specific discharge capacity of 118.8 mAh g−1 after 230 cycles at 0.5 C and 30 °C. Meanwhile, the Na|CSE|Na3Mg0.05V1.95(PO4)3@C cell fabricated herein maintains its cycling stability over 3000 cycles at 2 C and 30 °C with zero-fading. The proposed integrated strategy provides a new perspective for designing fast ionic conductor electrolytes to boost high-energy solid-state batteries.&quot;,&quot;publisher&quot;:&quot;John Wiley &amp; Sons, Ltd&quot;,&quot;issue&quot;:&quot;21&quot;,&quot;volume&quot;:&quot;10&quot;,&quot;container-title-short&quot;:&quot;&quot;},&quot;isTemporary&quot;:false},{&quot;id&quot;:&quot;173421e1-8aac-3003-8b5f-8ee2ac61f0a6&quot;,&quot;itemData&quot;:{&quot;type&quot;:&quot;article-journal&quot;,&quot;id&quot;:&quot;173421e1-8aac-3003-8b5f-8ee2ac61f0a6&quot;,&quot;title&quot;:&quot;Experimental and Computational Evaluation of 1,2,4-Triazolium-Based Ionic Liquids for Carbon Dioxide Capture&quot;,&quot;author&quot;:[{&quot;family&quot;:&quot;Mohammed&quot;,&quot;given&quot;:&quot;Sulafa Abdalmageed Saadaldeen&quot;,&quot;parse-names&quot;:false,&quot;dropping-particle&quot;:&quot;&quot;,&quot;non-dropping-particle&quot;:&quot;&quot;},{&quot;family&quot;:&quot;Yahya&quot;,&quot;given&quot;:&quot;Wan Zaireen Nisa&quot;,&quot;parse-names&quot;:false,&quot;dropping-particle&quot;:&quot;&quot;,&quot;non-dropping-particle&quot;:&quot;&quot;},{&quot;family&quot;:&quot;Bustam&quot;,&quot;given&quot;:&quot;Mohamad Azmi&quot;,&quot;parse-names&quot;:false,&quot;dropping-particle&quot;:&quot;&quot;,&quot;non-dropping-particle&quot;:&quot;&quot;},{&quot;family&quot;:&quot;Kibria&quot;,&quot;given&quot;:&quot;Md Golam&quot;,&quot;parse-names&quot;:false,&quot;dropping-particle&quot;:&quot;&quot;,&quot;non-dropping-particle&quot;:&quot;&quot;}],&quot;container-title&quot;:&quot;Separations&quot;,&quot;container-title-short&quot;:&quot;Separations&quot;,&quot;accessed&quot;:{&quot;date-parts&quot;:[[2025,4,11]]},&quot;DOI&quot;:&quot;10.3390/SEPARATIONS10030192/S1&quot;,&quot;ISSN&quot;:&quot;22978739&quot;,&quot;URL&quot;:&quot;https://www.mdpi.com/2297-8739/10/3/192/htm&quot;,&quot;issued&quot;:{&quot;date-parts&quot;:[[2023,3,1]]},&quot;page&quot;:&quot;192&quot;,&quot;abstract&quot;:&quot;Utilization of ionic liquids (ILs) for carbon dioxide (CO2) capture is continuously growing, and further understanding of the factors that influence its solubility (notably for new ILs) is crucial. Herein, CO2 absorption of two 1,2,4-triazolium-based ILs was compared with imidazolium-based Ils of different anions, namely bis(trifluoromethylsulfonyl)imide, tetrafluoroborate, and glycinate. The CO2 absorption capacity was determined using an isochoric saturation method and compared with predicted solubility employing COnductor-like Screening Model for Real Solvents (COSMO-RS). To gain an understanding of the effects of cations and anions of the ILs on the CO2 solubility, the molecular orbitals energy levels were calculated using TURBOMOLE. Triazolium-based ILs exhibit higher absorption capacity when compared to imidazolium-based ILs for the same anions. The results also showed that the anions’ energy levels are more determinant towards solubility than the cations’ energy levels, which can be explained by the higher tendency of CO2 to accept electrons than to donate them.&quot;,&quot;publisher&quot;:&quot;MDPI&quot;,&quot;issue&quot;:&quot;3&quot;,&quot;volume&quot;:&quot;10&quot;},&quot;isTemporary&quot;:false}]},{&quot;citationID&quot;:&quot;MENDELEY_CITATION_f65f8f38-47c2-4549-aa3d-0b427e4c79be&quot;,&quot;properties&quot;:{&quot;noteIndex&quot;:0},&quot;isEdited&quot;:false,&quot;manualOverride&quot;:{&quot;isManuallyOverridden&quot;:false,&quot;citeprocText&quot;:&quot;[14]&quot;,&quot;manualOverrideText&quot;:&quot;&quot;},&quot;citationTag&quot;:&quot;MENDELEY_CITATION_v3_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&quot;,&quot;citationItems&quot;:[{&quot;id&quot;:&quot;79cc5bab-bedf-316a-b03c-631953154e96&quot;,&quot;itemData&quot;:{&quot;type&quot;:&quot;article-journal&quot;,&quot;id&quot;:&quot;79cc5bab-bedf-316a-b03c-631953154e96&quot;,&quot;title&quot;:&quot;Highly hydrogen-permselective zeolitic imidazolate framework ZIF-8 membranes prepared on coarse and macroporous tubes through repeated synthesis&quot;,&quot;author&quot;:[{&quot;family&quot;:&quot;Zhu&quot;,&quot;given&quot;:&quot;Yaqiong&quot;,&quot;parse-names&quot;:false,&quot;dropping-particle&quot;:&quot;&quot;,&quot;non-dropping-particle&quot;:&quot;&quot;},{&quot;family&quot;:&quot;Liu&quot;,&quot;given&quot;:&quot;Qian&quot;,&quot;parse-names&quot;:false,&quot;dropping-particle&quot;:&quot;&quot;,&quot;non-dropping-particle&quot;:&quot;&quot;},{&quot;family&quot;:&quot;Caro&quot;,&quot;given&quot;:&quot;Jürgen&quot;,&quot;parse-names&quot;:false,&quot;dropping-particle&quot;:&quot;&quot;,&quot;non-dropping-particle&quot;:&quot;&quot;},{&quot;family&quot;:&quot;Huang&quot;,&quot;given&quot;:&quot;Aisheng&quot;,&quot;parse-names&quot;:false,&quot;dropping-particle&quot;:&quot;&quot;,&quot;non-dropping-particle&quot;:&quot;&quot;}],&quot;container-title&quot;:&quot;Separation and Purification Technology&quot;,&quot;container-title-short&quot;:&quot;Sep Purif Technol&quot;,&quot;accessed&quot;:{&quot;date-parts&quot;:[[2025,4,11]]},&quot;DOI&quot;:&quot;10.1016/J.SEPPUR.2015.03.020&quot;,&quot;ISSN&quot;:&quot;1383-5866&quot;,&quot;issued&quot;:{&quot;date-parts&quot;:[[2015,5,26]]},&quot;page&quot;:&quot;68-74&quot;,&quot;abstract&quot;:&quot;Highly hydrogen-permselective zeolitic imidazolate framework ZIF-8 membranes are prepared on coarse and macroporous Al2O3 tubes through a repeated synthesis strategy for the separation of H2/CO2, H2/CH4, and H2/C3H8 mixtures. Since the amino-groups of 3-aminopropyltriethoxysilane (APTES) can coordinate to the free Zn2+ centers and thus bind the growing nano-crystals directly, the nucleation and growth of well intergrown ZIF-8 membranes could be promoted through a repeated synthesis of the ZIF-8 layer on APTES-modified macroporous Al2O3 tubes. The SEM and XRD characterizations indicate that a dense and phase-pure ZIF-8 membrane with a thickness of about 25.0 μm can be formed on the alumina tubes by microwave synthesis at 105 °C for 3 h, and no cracks, pinholes or other defects were observed in the membrane layer. The ZIF-8 membranes were evaluated in single gas permeation and mixed gas separation. Attributed to the preferential adsorption affinity and capacity as well as a highly porous structure with nano-sized channels, the ZIF-8 membrane displays a high hydrogen permselectivity. For the separation of equimolar H2/CO2, H2/CH4, H2/C3H8 mixtures at 100 °C and 2 bar, the mixture separation factors of H2/CO2, H2/CH4, and H2/C3H8 are 5.6, 44.0, 328.6, with a H2 permeance of about 1.1 × 10-7 mol m-2 s-1 Pa-1, which is promising for potential applications in hydrogen purification and separation.&quot;,&quot;publisher&quot;:&quot;Elsevier&quot;,&quot;volume&quot;:&quot;146&quot;},&quot;isTemporary&quot;:false}]},{&quot;citationID&quot;:&quot;MENDELEY_CITATION_08d3c34a-c668-420f-ae54-db6291bf6602&quot;,&quot;properties&quot;:{&quot;noteIndex&quot;:0},&quot;isEdited&quot;:false,&quot;manualOverride&quot;:{&quot;isManuallyOverridden&quot;:false,&quot;citeprocText&quot;:&quot;[15]&quot;,&quot;manualOverrideText&quot;:&quot;&quot;},&quot;citationTag&quot;:&quot;MENDELEY_CITATION_v3_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&quot;,&quot;citationItems&quot;:[{&quot;id&quot;:&quot;7b821435-d6af-34ff-bda2-4796dcffb76d&quot;,&quot;itemData&quot;:{&quot;type&quot;:&quot;article-journal&quot;,&quot;id&quot;:&quot;7b821435-d6af-34ff-bda2-4796dcffb76d&quot;,&quot;title&quot;:&quot;Specific oriented metal-organic framework membranes and their facet-tuned separation performance&quot;,&quot;author&quot;:[{&quot;family&quot;:&quot;Mao&quot;,&quot;given&quot;:&quot;Yiyin&quot;,&quot;parse-names&quot;:false,&quot;dropping-particle&quot;:&quot;&quot;,&quot;non-dropping-particle&quot;:&quot;&quot;},{&quot;family&quot;:&quot;Su&quot;,&quot;given&quot;:&quot;Binbin&quot;,&quot;parse-names&quot;:false,&quot;dropping-particle&quot;:&quot;&quot;,&quot;non-dropping-particle&quot;:&quot;&quot;},{&quot;family&quot;:&quot;Cao&quot;,&quot;given&quot;:&quot;Wei&quot;,&quot;parse-names&quot;:false,&quot;dropping-particle&quot;:&quot;&quot;,&quot;non-dropping-particle&quot;:&quot;&quot;},{&quot;family&quot;:&quot;Li&quot;,&quot;given&quot;:&quot;Junwei&quot;,&quot;parse-names&quot;:false,&quot;dropping-particle&quot;:&quot;&quot;,&quot;non-dropping-particle&quot;:&quot;&quot;},{&quot;family&quot;:&quot;Ying&quot;,&quot;given&quot;:&quot;Yulong&quot;,&quot;parse-names&quot;:false,&quot;dropping-particle&quot;:&quot;&quot;,&quot;non-dropping-particle&quot;:&quot;&quot;},{&quot;family&quot;:&quot;Ying&quot;,&quot;given&quot;:&quot;Wen&quot;,&quot;parse-names&quot;:false,&quot;dropping-particle&quot;:&quot;&quot;,&quot;non-dropping-particle&quot;:&quot;&quot;},{&quot;family&quot;:&quot;Hou&quot;,&quot;given&quot;:&quot;Yajun&quot;,&quot;parse-names&quot;:false,&quot;dropping-particle&quot;:&quot;&quot;,&quot;non-dropping-particle&quot;:&quot;&quot;},{&quot;family&quot;:&quot;Sun&quot;,&quot;given&quot;:&quot;Luwei&quot;,&quot;parse-names&quot;:false,&quot;dropping-particle&quot;:&quot;&quot;,&quot;non-dropping-particle&quot;:&quot;&quot;},{&quot;family&quot;:&quot;Peng&quot;,&quot;given&quot;:&quot;Xinsheng&quot;,&quot;parse-names&quot;:false,&quot;dropping-particle&quot;:&quot;&quot;,&quot;non-dropping-particle&quot;:&quot;&quot;}],&quot;container-title&quot;:&quot;ACS Applied Materials and Interfaces&quot;,&quot;container-title-short&quot;:&quot;ACS Appl Mater Interfaces&quot;,&quot;accessed&quot;:{&quot;date-parts&quot;:[[2025,4,11]]},&quot;DOI&quot;:&quot;10.1021/AM5049702/SUPPL_FILE/AM5049702_SI_001.PDF&quot;,&quot;ISSN&quot;:&quot;19448252&quot;,&quot;URL&quot;:&quot;https://pubs.acs.org/doi/full/10.1021/am5049702&quot;,&quot;issued&quot;:{&quot;date-parts&quot;:[[2014,9,24]]},&quot;page&quot;:&quot;15676-15685&quot;,&quot;abstract&quot;:&quot;Modulating the crystal morphology, or the exposed crystal facets, of metal-organic frameworks (MOFs) expands their potential applications in catalysis, adsorption, and separation. In this article, by immobilizing the citrate modulators on Au nanoparticles and subsequently being fixed on solid copper hydroxide nanostrands, a well-intergrown and oriented HKUST-1 cube crystal membrane was formed at room temperature. In contrast, in the absence of Au nanoparticles, well-intergrown and oriented cuboctahedron and octahedron membranes were formed in water/ ethanol and ethanol, respectively. The gas separation performances of these HKUST-1 membranes were tuned via their exposed facets with defined pore sizes. The HKUST-1 cube membrane with exposed {001} facets demonstrated the highest permeance but lowest gas binary separation factors, while the octahedron membrane with exposed {111} facets presented the highest separation factors but lowest permeance, since the window size of {111} facets is 0.46 nm which is smaller than 0.9 nm of {001} facets. Separation of 0.38 nm CO2 from 0.55 nm SF6 was realized by the HKUST-1 octahedron membrane. As a proof of concept, this will open a new way to design MOF-related separation membranes by facet controlling.&quot;,&quot;publisher&quot;:&quot;American Chemical Society&quot;,&quot;issue&quot;:&quot;18&quot;,&quot;volume&quot;:&quot;6&quot;},&quot;isTemporary&quot;:false}]},{&quot;citationID&quot;:&quot;MENDELEY_CITATION_3d3962f8-ff24-41d9-9c58-25f4ef6ee3a9&quot;,&quot;properties&quot;:{&quot;noteIndex&quot;:0},&quot;isEdited&quot;:false,&quot;manualOverride&quot;:{&quot;isManuallyOverridden&quot;:false,&quot;citeprocText&quot;:&quot;[16]&quot;,&quot;manualOverrideText&quot;:&quot;&quot;},&quot;citationTag&quot;:&quot;MENDELEY_CITATION_v3_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&quot;,&quot;citationItems&quot;:[{&quot;id&quot;:&quot;79cf2b67-c3dd-35d2-8c43-7e5ac89ae600&quot;,&quot;itemData&quot;:{&quot;type&quot;:&quot;article-journal&quot;,&quot;id&quot;:&quot;79cf2b67-c3dd-35d2-8c43-7e5ac89ae600&quot;,&quot;title&quot;:&quot;Swelling Mechanism of Polyoxazoline-Based Gel Polymer Electrolytes for Lithium-Ion Batteries&quot;,&quot;author&quot;:[{&quot;family&quot;:&quot;Pathak&quot;,&quot;given&quot;:&quot;Mayank&quot;,&quot;parse-names&quot;:false,&quot;dropping-particle&quot;:&quot;&quot;,&quot;non-dropping-particle&quot;:&quot;&quot;},{&quot;family&quot;:&quot;Mahun&quot;,&quot;given&quot;:&quot;Andrii&quot;,&quot;parse-names&quot;:false,&quot;dropping-particle&quot;:&quot;&quot;,&quot;non-dropping-particle&quot;:&quot;&quot;},{&quot;family&quot;:&quot;Černoch&quot;,&quot;given&quot;:&quot;Peter&quot;,&quot;parse-names&quot;:false,&quot;dropping-particle&quot;:&quot;&quot;,&quot;non-dropping-particle&quot;:&quot;&quot;},{&quot;family&quot;:&quot;Morávková&quot;,&quot;given&quot;:&quot;Zuzana&quot;,&quot;parse-names&quot;:false,&quot;dropping-particle&quot;:&quot;&quot;,&quot;non-dropping-particle&quot;:&quot;&quot;}],&quot;container-title&quot;:&quot;ACS Applied Polymer Materials&quot;,&quot;container-title-short&quot;:&quot;ACS Appl Polym Mater&quot;,&quot;accessed&quot;:{&quot;date-parts&quot;:[[2025,4,11]]},&quot;DOI&quot;:&quot;10.1021/ACSAPM.4C03473/ASSET/IMAGES/LARGE/AP4C03473_0008.JPEG&quot;,&quot;ISSN&quot;:&quot;26376105&quot;,&quot;URL&quot;:&quot;https://pubs.acs.org/doi/full/10.1021/acsapm.4c03473&quot;,&quot;issued&quot;:{&quot;date-parts&quot;:[[2025]]},&quot;abstract&quot;:&quot;Gel polymer electrolytes for lithium-ion batteries are typically prepared by swelling a preprepared cross-linked polymer network with a solution of lithium salt. This step of the electrolyte preparation is assumed to be straightforward, and very little attention has been paid to the investigation of the swelling mechanism. We questioned the common assumption that the feed solution swells the polymer network at the same concentration and fed a polyoxazoline network with several concentrations of lithium bis(oxalato)borate and lithium bis(trifluoromethane)sulfonimide solutions in propylene carbonate and diglyme. We thoroughly analyzed the obtained gels using NMR and Raman spectroscopy and evaluated the content of the solvent and salt in the polymer matrix, their mutual interactions, and mobilities. We found that this assumption was invalid and created a model of swelling of a polyoxazoline network with a salt solution. Our model implies the importance of often neglected solvent-polymer interactions or lack thereof. In the context of the function of the polyoxazoline system, our results provide insights into the efficiency of polymer matrices for gel polymer electrolytes, which will help avoid inefficient polymer matrices in the future.&quot;,&quot;publisher&quot;:&quot;American Chemical Society&quot;},&quot;isTemporary&quot;:false}]},{&quot;citationID&quot;:&quot;MENDELEY_CITATION_e85a1e59-dd8f-487f-948f-90c1d6229872&quot;,&quot;properties&quot;:{&quot;noteIndex&quot;:0},&quot;isEdited&quot;:false,&quot;manualOverride&quot;:{&quot;isManuallyOverridden&quot;:false,&quot;citeprocText&quot;:&quot;[17]&quot;,&quot;manualOverrideText&quot;:&quot;&quot;},&quot;citationTag&quot;:&quot;MENDELEY_CITATION_v3_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&quot;,&quot;citationItems&quot;:[{&quot;id&quot;:&quot;fbc4d97e-bc69-3f49-bf1a-a8d2371a1384&quot;,&quot;itemData&quot;:{&quot;type&quot;:&quot;article-journal&quot;,&quot;id&quot;:&quot;fbc4d97e-bc69-3f49-bf1a-a8d2371a1384&quot;,&quot;title&quot;:&quot;Raman spectrum of propylene carbonate&quot;,&quot;author&quot;:[{&quot;family&quot;:&quot;Janz&quot;,&quot;given&quot;:&quot;G. J.&quot;,&quot;parse-names&quot;:false,&quot;dropping-particle&quot;:&quot;&quot;,&quot;non-dropping-particle&quot;:&quot;&quot;},{&quot;family&quot;:&quot;Ambrose&quot;,&quot;given&quot;:&quot;J.&quot;,&quot;parse-names&quot;:false,&quot;dropping-particle&quot;:&quot;&quot;,&quot;non-dropping-particle&quot;:&quot;&quot;},{&quot;family&quot;:&quot;Coutts&quot;,&quot;given&quot;:&quot;J. W.&quot;,&quot;parse-names&quot;:false,&quot;dropping-particle&quot;:&quot;&quot;,&quot;non-dropping-particle&quot;:&quot;&quot;},{&quot;family&quot;:&quot;Downey&quot;,&quot;given&quot;:&quot;J. R.&quot;,&quot;parse-names&quot;:false,&quot;dropping-particle&quot;:&quot;&quot;,&quot;non-dropping-particle&quot;:&quot;&quot;}],&quot;container-title&quot;:&quot;Spectrochimica Acta Part A: Molecular Spectroscopy&quot;,&quot;container-title-short&quot;:&quot;Spectrochim Acta A&quot;,&quot;accessed&quot;:{&quot;date-parts&quot;:[[2025,4,11]]},&quot;DOI&quot;:&quot;10.1016/0584-8539(79)80181-6&quot;,&quot;ISSN&quot;:&quot;0584-8539&quot;,&quot;issued&quot;:{&quot;date-parts&quot;:[[1979,1,1]]},&quot;page&quot;:&quot;175-179&quot;,&quot;abstract&quot;:&quot;The Raman spectrum of propylene carbonate (4-methyl-1,3-dioxolan-2-one) has been recorded and analyzed. Vibrational assignments have been made for many of the observed frequencies on the basis of comparison with accepted assignments for certain vibrational modes in other compounds with close structural similarities. The spectra of propylene carbonate (PC)-water mixtures have been studied over the entire concentration range at 80° and there seems to be little or no interaction except for partial disruption of hydrogen bonding in water by PC. Raman spectra of solutions of LiClO4 in PC and in PCH2O mixtures indicate possible salvation of the Li+ ion. © 1979.&quot;,&quot;publisher&quot;:&quot;Elsevier&quot;,&quot;issue&quot;:&quot;2&quot;,&quot;volume&quot;:&quot;35&quot;},&quot;isTemporary&quot;:false}]},{&quot;citationID&quot;:&quot;MENDELEY_CITATION_6c00d2ff-508d-4671-b332-814bbc9f0343&quot;,&quot;properties&quot;:{&quot;noteIndex&quot;:0},&quot;isEdited&quot;:false,&quot;manualOverride&quot;:{&quot;isManuallyOverridden&quot;:false,&quot;citeprocText&quot;:&quot;[18]&quot;,&quot;manualOverrideText&quot;:&quot;&quot;},&quot;citationTag&quot;:&quot;MENDELEY_CITATION_v3_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&quot;,&quot;citationItems&quot;:[{&quot;id&quot;:&quot;49334ca7-e2ea-39c1-9337-30f34ed8c1a6&quot;,&quot;itemData&quot;:{&quot;type&quot;:&quot;article-journal&quot;,&quot;id&quot;:&quot;49334ca7-e2ea-39c1-9337-30f34ed8c1a6&quot;,&quot;title&quot;:&quot;Towards universal neural network potential for material discovery applicable to arbitrary combination of 45 elements&quot;,&quot;author&quot;:[{&quot;family&quot;:&quot;Takamoto&quot;,&quot;given&quot;:&quot;So&quot;,&quot;parse-names&quot;:false,&quot;dropping-particle&quot;:&quot;&quot;,&quot;non-dropping-particle&quot;:&quot;&quot;},{&quot;family&quot;:&quot;Shinagawa&quot;,&quot;given&quot;:&quot;Chikashi&quot;,&quot;parse-names&quot;:false,&quot;dropping-particle&quot;:&quot;&quot;,&quot;non-dropping-particle&quot;:&quot;&quot;},{&quot;family&quot;:&quot;Motoki&quot;,&quot;given&quot;:&quot;Daisuke&quot;,&quot;parse-names&quot;:false,&quot;dropping-particle&quot;:&quot;&quot;,&quot;non-dropping-particle&quot;:&quot;&quot;},{&quot;family&quot;:&quot;Nakago&quot;,&quot;given&quot;:&quot;Kosuke&quot;,&quot;parse-names&quot;:false,&quot;dropping-particle&quot;:&quot;&quot;,&quot;non-dropping-particle&quot;:&quot;&quot;},{&quot;family&quot;:&quot;Li&quot;,&quot;given&quot;:&quot;Wenwen&quot;,&quot;parse-names&quot;:false,&quot;dropping-particle&quot;:&quot;&quot;,&quot;non-dropping-particle&quot;:&quot;&quot;},{&quot;family&quot;:&quot;Kurata&quot;,&quot;given&quot;:&quot;Iori&quot;,&quot;parse-names&quot;:false,&quot;dropping-particle&quot;:&quot;&quot;,&quot;non-dropping-particle&quot;:&quot;&quot;},{&quot;family&quot;:&quot;Watanabe&quot;,&quot;given&quot;:&quot;Taku&quot;,&quot;parse-names&quot;:false,&quot;dropping-particle&quot;:&quot;&quot;,&quot;non-dropping-particle&quot;:&quot;&quot;},{&quot;family&quot;:&quot;Yayama&quot;,&quot;given&quot;:&quot;Yoshihiro&quot;,&quot;parse-names&quot;:false,&quot;dropping-particle&quot;:&quot;&quot;,&quot;non-dropping-particle&quot;:&quot;&quot;},{&quot;family&quot;:&quot;Iriguchi&quot;,&quot;given&quot;:&quot;Hiroki&quot;,&quot;parse-names&quot;:false,&quot;dropping-particle&quot;:&quot;&quot;,&quot;non-dropping-particle&quot;:&quot;&quot;},{&quot;family&quot;:&quot;Asano&quot;,&quot;given&quot;:&quot;Yusuke&quot;,&quot;parse-names&quot;:false,&quot;dropping-particle&quot;:&quot;&quot;,&quot;non-dropping-particle&quot;:&quot;&quot;},{&quot;family&quot;:&quot;Onodera&quot;,&quot;given&quot;:&quot;Tasuku&quot;,&quot;parse-names&quot;:false,&quot;dropping-particle&quot;:&quot;&quot;,&quot;non-dropping-particle&quot;:&quot;&quot;},{&quot;family&quot;:&quot;Ishii&quot;,&quot;given&quot;:&quot;Takafumi&quot;,&quot;parse-names&quot;:false,&quot;dropping-particle&quot;:&quot;&quot;,&quot;non-dropping-particle&quot;:&quot;&quot;},{&quot;family&quot;:&quot;Kudo&quot;,&quot;given&quot;:&quot;Takao&quot;,&quot;parse-names&quot;:false,&quot;dropping-particle&quot;:&quot;&quot;,&quot;non-dropping-particle&quot;:&quot;&quot;},{&quot;family&quot;:&quot;Ono&quot;,&quot;given&quot;:&quot;Hideki&quot;,&quot;parse-names&quot;:false,&quot;dropping-particle&quot;:&quot;&quot;,&quot;non-dropping-particle&quot;:&quot;&quot;},{&quot;family&quot;:&quot;Sawada&quot;,&quot;given&quot;:&quot;Ryohto&quot;,&quot;parse-names&quot;:false,&quot;dropping-particle&quot;:&quot;&quot;,&quot;non-dropping-particle&quot;:&quot;&quot;},{&quot;family&quot;:&quot;Ishitani&quot;,&quot;given&quot;:&quot;Ryuichiro&quot;,&quot;parse-names&quot;:false,&quot;dropping-particle&quot;:&quot;&quot;,&quot;non-dropping-particle&quot;:&quot;&quot;},{&quot;family&quot;:&quot;Ong&quot;,&quot;given&quot;:&quot;Marc&quot;,&quot;parse-names&quot;:false,&quot;dropping-particle&quot;:&quot;&quot;,&quot;non-dropping-particle&quot;:&quot;&quot;},{&quot;family&quot;:&quot;Yamaguchi&quot;,&quot;given&quot;:&quot;Taiki&quot;,&quot;parse-names&quot;:false,&quot;dropping-particle&quot;:&quot;&quot;,&quot;non-dropping-particle&quot;:&quot;&quot;},{&quot;family&quot;:&quot;Kataoka&quot;,&quot;given&quot;:&quot;Toshiki&quot;,&quot;parse-names&quot;:false,&quot;dropping-particle&quot;:&quot;&quot;,&quot;non-dropping-particle&quot;:&quot;&quot;},{&quot;family&quot;:&quot;Hayashi&quot;,&quot;given&quot;:&quot;Akihide&quot;,&quot;parse-names&quot;:false,&quot;dropping-particle&quot;:&quot;&quot;,&quot;non-dropping-particle&quot;:&quot;&quot;},{&quot;family&quot;:&quot;Charoenphakdee&quot;,&quot;given&quot;:&quot;Nontawat&quot;,&quot;parse-names&quot;:false,&quot;dropping-particle&quot;:&quot;&quot;,&quot;non-dropping-particle&quot;:&quot;&quot;},{&quot;family&quot;:&quot;Ibuka&quot;,&quot;given&quot;:&quot;Takeshi&quot;,&quot;parse-names&quot;:false,&quot;dropping-particle&quot;:&quot;&quot;,&quot;non-dropping-particle&quot;:&quot;&quot;}],&quot;container-title&quot;:&quot;Nature Communications 2022 13:1&quot;,&quot;accessed&quot;:{&quot;date-parts&quot;:[[2025,4,25]]},&quot;DOI&quot;:&quot;10.1038/s41467-022-30687-9&quot;,&quot;ISSN&quot;:&quot;2041-1723&quot;,&quot;PMID&quot;:&quot;35637178&quot;,&quot;URL&quot;:&quot;https://www.nature.com/articles/s41467-022-30687-9&quot;,&quot;issued&quot;:{&quot;date-parts&quot;:[[2022,5,30]]},&quot;page&quot;:&quot;1-11&quot;,&quot;abstract&quot;:&quot;Computational material discovery is under intense study owing to its ability to explore the vast space of chemical systems. Neural network potentials (NNPs) have been shown to be particularly effective in conducting atomistic simulations for such purposes. However, existing NNPs are generally designed for narrow target materials, making them unsuitable for broader applications in material discovery. Here we report a development of universal NNP called PreFerred Potential (PFP), which is able to handle any combination of 45 elements. Particular emphasis is placed on the datasets, which include a diverse set of virtual structures used to attain the universality. We demonstrated the applicability of PFP in selected domains: lithium diffusion in LiFeSO4F, molecular adsorption in metal-organic frameworks, an order–disorder transition of Cu-Au alloys, and material discovery for a Fischer–Tropsch catalyst. They showcase the power of PFP, and this technology provides a highly useful tool for material discovery. Existing neural network potentials are generally designed for narrow target materials. Here the authors develop a neural network potential which is able to handle any combination of 45 elements and show its applicability in multiple domains.&quot;,&quot;publisher&quot;:&quot;Nature Publishing Group&quot;,&quot;issue&quot;:&quot;1&quot;,&quot;volume&quot;:&quot;13&quot;,&quot;container-title-short&quot;:&quot;&quot;},&quot;isTemporary&quot;:false}]},{&quot;citationID&quot;:&quot;MENDELEY_CITATION_a698cb0f-7261-4372-a02e-f556ac4e5e68&quot;,&quot;properties&quot;:{&quot;noteIndex&quot;:0},&quot;isEdited&quot;:false,&quot;manualOverride&quot;:{&quot;isManuallyOverridden&quot;:false,&quot;citeprocText&quot;:&quot;[19]&quot;,&quot;manualOverrideText&quot;:&quot;&quot;},&quot;citationTag&quot;:&quot;MENDELEY_CITATION_v3_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&quot;,&quot;citationItems&quot;:[{&quot;id&quot;:&quot;0928dc0c-4408-3095-b194-265107214911&quot;,&quot;itemData&quot;:{&quot;type&quot;:&quot;article-journal&quot;,&quot;id&quot;:&quot;0928dc0c-4408-3095-b194-265107214911&quot;,&quot;title&quot;:&quot;Molecular dynamics of liquid–electrode interface by integrating Coulomb interaction into universal neural network potential&quot;,&quot;author&quot;:[{&quot;family&quot;:&quot;Hisama&quot;,&quot;given&quot;:&quot;Kaoru&quot;,&quot;parse-names&quot;:false,&quot;dropping-particle&quot;:&quot;&quot;,&quot;non-dropping-particle&quot;:&quot;&quot;},{&quot;family&quot;:&quot;Valadez Huerta&quot;,&quot;given&quot;:&quot;Gerardo&quot;,&quot;parse-names&quot;:false,&quot;dropping-particle&quot;:&quot;&quot;,&quot;non-dropping-particle&quot;:&quot;&quot;},{&quot;family&quot;:&quot;Koyama&quot;,&quot;given&quot;:&quot;Michihisa&quot;,&quot;parse-names&quot;:false,&quot;dropping-particle&quot;:&quot;&quot;,&quot;non-dropping-particle&quot;:&quot;&quot;}],&quot;container-title&quot;:&quot;Journal of Computational Chemistry&quot;,&quot;container-title-short&quot;:&quot;J Comput Chem&quot;,&quot;accessed&quot;:{&quot;date-parts&quot;:[[2025,4,25]]},&quot;DOI&quot;:&quot;10.1002/JCC.27487&quot;,&quot;ISSN&quot;:&quot;1096-987X&quot;,&quot;URL&quot;:&quot;/doi/pdf/10.1002/jcc.27487&quot;,&quot;issued&quot;:{&quot;date-parts&quot;:[[2024,12,15]]},&quot;page&quot;:&quot;2805-2811&quot;,&quot;abstract&quot;:&quot;Computational understanding of the liquid–electrode interface faces challenges in efficiently incorporating reactive force fields and electrostatic potentials within reasonable computational costs. Although universal neural network potentials (UNNPs), representing pretrained machine learning interatomic potentials, are emerging, current UNNP models lack explicit treatment of Coulomb potentials, and methods for integrating additional charges on the electrode remain to be established. We propose a method to analyze liquid–electrode interfaces by integrating a UNNP, known as the preferred potential, with Coulomb potentials using the ONIOM method. This approach extends the applicability of UNNPs to electrode–liquid interface systems. Through molecular dynamics simulations of graphene–water and graphene oxide (GO)–water interfaces, we demonstrate the effectiveness of our method. Our findings emphasize the necessity of incorporating long-range Coulomb potentials into the water potential to accurately describe water polarization at the interface. Furthermore, we observe that functional groups on the GO electrode influence both polarization and capacitance.&quot;,&quot;publisher&quot;:&quot;John Wiley &amp; Sons, Ltd&quot;,&quot;issue&quot;:&quot;32&quot;,&quot;volume&quot;:&quot;45&quot;},&quot;isTemporary&quot;:false}]},{&quot;citationID&quot;:&quot;MENDELEY_CITATION_fa49ac02-7998-41ea-92d6-2af374709fb7&quot;,&quot;properties&quot;:{&quot;noteIndex&quot;:0},&quot;isEdited&quot;:false,&quot;manualOverride&quot;:{&quot;isManuallyOverridden&quot;:false,&quot;citeprocText&quot;:&quot;[20]&quot;,&quot;manualOverrideText&quot;:&quot;&quot;},&quot;citationTag&quot;:&quot;MENDELEY_CITATION_v3_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&quot;,&quot;citationItems&quot;:[{&quot;id&quot;:&quot;29df372f-6bca-3fca-98f0-bd2077f698c2&quot;,&quot;itemData&quot;:{&quot;type&quot;:&quot;article-journal&quot;,&quot;id&quot;:&quot;29df372f-6bca-3fca-98f0-bd2077f698c2&quot;,&quot;title&quot;:&quot;Embedded-atom method: Derivation and application to impurities, surfaces, and other defects in metals&quot;,&quot;author&quot;:[{&quot;family&quot;:&quot;Daw&quot;,&quot;given&quot;:&quot;Murray S.&quot;,&quot;parse-names&quot;:false,&quot;dropping-particle&quot;:&quot;&quot;,&quot;non-dropping-particle&quot;:&quot;&quot;},{&quot;family&quot;:&quot;Baskes&quot;,&quot;given&quot;:&quot;M. I.&quot;,&quot;parse-names&quot;:false,&quot;dropping-particle&quot;:&quot;&quot;,&quot;non-dropping-particle&quot;:&quot;&quot;}],&quot;container-title&quot;:&quot;Physical Review B&quot;,&quot;container-title-short&quot;:&quot;Phys Rev B&quot;,&quot;accessed&quot;:{&quot;date-parts&quot;:[[2025,4,25]]},&quot;DOI&quot;:&quot;10.1103/PhysRevB.29.6443&quot;,&quot;ISSN&quot;:&quot;01631829&quot;,&quot;URL&quot;:&quot;https://journals.aps.org/prb/abstract/10.1103/PhysRevB.29.6443&quot;,&quot;issued&quot;:{&quot;date-parts&quot;:[[1984,6,15]]},&quot;page&quot;:&quot;6443&quot;,&quot;abstract&quot;:&quot;We develop the embedded-atom method [Phys. Rev. Lett. 50, 1285 (1983)], based on density-functional theory, as a new means of calculating ground-state properties of realistic metal systems. We derive an expression for the total energy of a metal using the embedding energy from which we obtain several ground-state properties, such as the lattice constant, elastic constants, sublimation energy, and vacancy-formation energy. We obtain the embedding energy and accompanying pair potentials semiempirically for Ni and Pd, and use these to treat several problems: surface energy and relaxation of the (100), (110), and (111) faces; properties of H in bulk metal (H migration, binding of H to vacancies, and lattice expansion in the hydride phase); binding site and adsorption energy of hydrogen on (100), (110), and (111) surfaces; and lastly, fracture of Ni and the effects of hydrogen on the fracture. We emphasize problems with hydrogen and with surfaces because none of these can be treated with pair potentials. The agreement with experiment, the applicability to practical problems, and the simplicity of the technique make it an effective tool for atomistic studies of defects in metals. © 1984 The American Physical Society.&quot;,&quot;publisher&quot;:&quot;American Physical Society&quot;,&quot;issue&quot;:&quot;12&quot;,&quot;volume&quot;:&quot;29&quot;},&quot;isTemporary&quot;:false}]},{&quot;citationID&quot;:&quot;MENDELEY_CITATION_f505d218-a771-46cc-a0aa-6744f6a2ba5c&quot;,&quot;properties&quot;:{&quot;noteIndex&quot;:0},&quot;isEdited&quot;:false,&quot;manualOverride&quot;:{&quot;isManuallyOverridden&quot;:false,&quot;citeprocText&quot;:&quot;[21]&quot;,&quot;manualOverrideText&quot;:&quot;&quot;},&quot;citationTag&quot;:&quot;MENDELEY_CITATION_v3_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&quot;,&quot;citationItems&quot;:[{&quot;id&quot;:&quot;3425b871-4078-3638-87f0-760c6b101335&quot;,&quot;itemData&quot;:{&quot;type&quot;:&quot;article-journal&quot;,&quot;id&quot;:&quot;3425b871-4078-3638-87f0-760c6b101335&quot;,&quot;title&quot;:&quot;New empirical model for the structural properties of silicon&quot;,&quot;author&quot;:[{&quot;family&quot;:&quot;Tersoff&quot;,&quot;given&quot;:&quot;J.&quot;,&quot;parse-names&quot;:false,&quot;dropping-particle&quot;:&quot;&quot;,&quot;non-dropping-particle&quot;:&quot;&quot;}],&quot;container-title&quot;:&quot;Physical Review Letters&quot;,&quot;container-title-short&quot;:&quot;Phys Rev Lett&quot;,&quot;accessed&quot;:{&quot;date-parts&quot;:[[2025,4,25]]},&quot;DOI&quot;:&quot;10.1103/PhysRevLett.56.632&quot;,&quot;ISSN&quot;:&quot;00319007&quot;,&quot;URL&quot;:&quot;https://journals.aps.org/prl/abstract/10.1103/PhysRevLett.56.632&quot;,&quot;issued&quot;:{&quot;date-parts&quot;:[[1986,2,10]]},&quot;page&quot;:&quot;632&quot;,&quot;abstract&quot;:&quot;An empirical interatomic potential for covalent systems is proposed, incorporating bond order in an intuitive way. The potential has the form of a Morse pair potential, but with the bond-strength parameter depending upon local environment. A model for Si accurately describes bonding and geometry for may structures, including highly rebonded surfaces. © 1986 The American Physical Society.&quot;,&quot;publisher&quot;:&quot;American Physical Society&quot;,&quot;issue&quot;:&quot;6&quot;,&quot;volume&quot;:&quot;56&quot;},&quot;isTemporary&quot;:false}]},{&quot;citationID&quot;:&quot;MENDELEY_CITATION_155ba6bb-bc8d-42ec-b366-d1e3a72f2c57&quot;,&quot;properties&quot;:{&quot;noteIndex&quot;:0},&quot;isEdited&quot;:false,&quot;manualOverride&quot;:{&quot;isManuallyOverridden&quot;:false,&quot;citeprocText&quot;:&quot;[22]&quot;,&quot;manualOverrideText&quot;:&quot;&quot;},&quot;citationTag&quot;:&quot;MENDELEY_CITATION_v3_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&quot;,&quot;citationItems&quot;:[{&quot;id&quot;:&quot;99305dd7-3d20-32c2-9a45-fec581135786&quot;,&quot;itemData&quot;:{&quot;type&quot;:&quot;article-journal&quot;,&quot;id&quot;:&quot;99305dd7-3d20-32c2-9a45-fec581135786&quot;,&quot;title&quot;:&quot;ReaxFF: A reactive force field for hydrocarbons&quot;,&quot;author&quot;:[{&quot;family&quot;:&quot;Duin&quot;,&quot;given&quot;:&quot;Adri C.T.&quot;,&quot;parse-names&quot;:false,&quot;dropping-particle&quot;:&quot;&quot;,&quot;non-dropping-particle&quot;:&quot;Van&quot;},{&quot;family&quot;:&quot;Dasgupta&quot;,&quot;given&quot;:&quot;Siddharth&quot;,&quot;parse-names&quot;:false,&quot;dropping-particle&quot;:&quot;&quot;,&quot;non-dropping-particle&quot;:&quot;&quot;},{&quot;family&quot;:&quot;Lorant&quot;,&quot;given&quot;:&quot;Francois&quot;,&quot;parse-names&quot;:false,&quot;dropping-particle&quot;:&quot;&quot;,&quot;non-dropping-particle&quot;:&quot;&quot;},{&quot;family&quot;:&quot;Goddard&quot;,&quot;given&quot;:&quot;William A.&quot;,&quot;parse-names&quot;:false,&quot;dropping-particle&quot;:&quot;&quot;,&quot;non-dropping-particle&quot;:&quot;&quot;}],&quot;container-title&quot;:&quot;Journal of Physical Chemistry A&quot;,&quot;accessed&quot;:{&quot;date-parts&quot;:[[2025,4,25]]},&quot;DOI&quot;:&quot;10.1021/JP004368U/ASSET/IMAGES/LARGE/JP004368UF00025.JPEG&quot;,&quot;ISSN&quot;:&quot;10895639&quot;,&quot;URL&quot;:&quot;/doi/pdf/10.1021/jp004368u&quot;,&quot;issued&quot;:{&quot;date-parts&quot;:[[2001,10,18]]},&quot;page&quot;:&quot;9396-9409&quot;,&quot;abstract&quot;:&quot;To make practical the molecular dynamics simulation of large scale reactive chemical systems (1000s of atoms), we developed ReaxFF, a force field for reactive systems. ReaxFF uses a general relationship between bond distance and bond order on one hand and between bond order and bond energy on the other hand that leads to proper dissociation of bonds to separated atoms. Other valence terms present in the force field (angle and torsion) are defined in terms of the same bond orders so that all these terms go to zero smoothly as bonds break. In addition, ReaxFF has Coulomb and Morse (van der Waals) potentials to describe nonbond interactions between all atoms (no exclusions). These nonbond interactions are shielded at short range so that the Coulomb and van der Waals interactions become constant as Rij → 0. We report here the ReaxFF for hydrocarbons. The parameters were derived from quantum chemical calculations on bond dissociation and reactions of small molecules plus heat of formation and geometry data for a number of stable hydrocarbon compounds. We find that the ReaxFF provides a good description of these data. Generally, the results are of an accuracy similar or better than PM3, while ReaxFF is about 100 times faster. In turn, the PM3 is about 100 times faster than the QC calculations. Thus, with ReaxFF we hope to be able to study complex reactions in hydrocarbons.&quot;,&quot;publisher&quot;:&quot; American Chemical Society &quot;,&quot;issue&quot;:&quot;41&quot;,&quot;volume&quot;:&quot;105&quot;,&quot;container-title-short&quot;:&quot;&quot;},&quot;isTemporary&quot;:false}]},{&quot;citationID&quot;:&quot;MENDELEY_CITATION_8c9e37bb-8443-415f-a14e-cb06343263da&quot;,&quot;properties&quot;:{&quot;noteIndex&quot;:0},&quot;isEdited&quot;:false,&quot;manualOverride&quot;:{&quot;isManuallyOverridden&quot;:false,&quot;citeprocText&quot;:&quot;[23]&quot;,&quot;manualOverrideText&quot;:&quot;&quot;},&quot;citationTag&quot;:&quot;MENDELEY_CITATION_v3_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&quot;,&quot;citationItems&quot;:[{&quot;id&quot;:&quot;c55cecd0-4af5-3b36-ba8f-b8f976c116b9&quot;,&quot;itemData&quot;:{&quot;type&quot;:&quot;article-journal&quot;,&quot;id&quot;:&quot;c55cecd0-4af5-3b36-ba8f-b8f976c116b9&quot;,&quot;title&quot;:&quot;Rise of machine learning potentials in heterogeneous catalysis: Developments, applications, and prospects&quot;,&quot;author&quot;:[{&quot;family&quot;:&quot;Choung&quot;,&quot;given&quot;:&quot;Seokhyun&quot;,&quot;parse-names&quot;:false,&quot;dropping-particle&quot;:&quot;&quot;,&quot;non-dropping-particle&quot;:&quot;&quot;},{&quot;family&quot;:&quot;Park&quot;,&quot;given&quot;:&quot;Wongyu&quot;,&quot;parse-names&quot;:false,&quot;dropping-particle&quot;:&quot;&quot;,&quot;non-dropping-particle&quot;:&quot;&quot;},{&quot;family&quot;:&quot;Moon&quot;,&quot;given&quot;:&quot;Jinuk&quot;,&quot;parse-names&quot;:false,&quot;dropping-particle&quot;:&quot;&quot;,&quot;non-dropping-particle&quot;:&quot;&quot;},{&quot;family&quot;:&quot;Han&quot;,&quot;given&quot;:&quot;Jeong Woo&quot;,&quot;parse-names&quot;:false,&quot;dropping-particle&quot;:&quot;&quot;,&quot;non-dropping-particle&quot;:&quot;&quot;}],&quot;container-title&quot;:&quot;Chemical Engineering Journal&quot;,&quot;accessed&quot;:{&quot;date-parts&quot;:[[2025,4,25]]},&quot;DOI&quot;:&quot;10.1016/J.CEJ.2024.152757&quot;,&quot;ISSN&quot;:&quot;1385-8947&quot;,&quot;URL&quot;:&quot;https://www.sciencedirect.com/science/article/pii/S138589472404244X?casa_token=3e6eO63o4x8AAAAA:m_EER_jX9HQInaCWDRLJsTG02fLE9Ofxkk-oThDaPO5N4xQM9sysUPYB0pBSfl_aEQ5dR8yHVWcS&quot;,&quot;issued&quot;:{&quot;date-parts&quot;:[[2024,8,15]]},&quot;page&quot;:&quot;152757&quot;,&quot;abstract&quot;:&quot;The urgency of tackling climate change is driving a global shift towards renewable sources of energy, with a growing contribution from alternative energy sources such as solar, wind and hydroelectric power. With the global push for the sustainable energy, the demand for effective catalysts for sustainable chemical production and energy storage has been rapidly increasing. Computational simulations have contributed to the rational design of catalysts by allowing profound analysis of catalyst properties. Machine learning potential (MLP) has emerged as a potential tool to bridge the gap between quantum mechanical accuracy and computational efficiency, overcoming the computational cost limitations of quantum chemistry-based simulations. This review discusses the development and application of MLP in multiscale simulations of heterogeneous catalysis. It covers the basic concepts of computational catalysis, the construction of MLP focusing on efficient datasets, atomic structure representations, and the process of training and evaluating of ML models. Furthermore, the potential applications of MLP are discussed in addressing computational challenges within the field, as MLP has potential to overcome limitations in simulation time and length scale. Lastly, the prospects for MLP are presented, taking advantage of the rapid advancements in artificial intelligence architectures. It is expected that the integration of MLP will accelerate progress within the catalyst research community and will bridge the gap between theoretical and experimental approaches in catalytic research.&quot;,&quot;publisher&quot;:&quot;Elsevier&quot;,&quot;volume&quot;:&quot;494&quot;,&quot;container-title-short&quot;:&quot;&quot;},&quot;isTemporary&quot;:false}]},{&quot;citationID&quot;:&quot;MENDELEY_CITATION_4d92a8bf-35b3-4b4a-a103-14a0527a158f&quot;,&quot;properties&quot;:{&quot;noteIndex&quot;:0},&quot;isEdited&quot;:false,&quot;manualOverride&quot;:{&quot;isManuallyOverridden&quot;:false,&quot;citeprocText&quot;:&quot;[19]&quot;,&quot;manualOverrideText&quot;:&quot;&quot;},&quot;citationTag&quot;:&quot;MENDELEY_CITATION_v3_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&quot;,&quot;citationItems&quot;:[{&quot;id&quot;:&quot;0928dc0c-4408-3095-b194-265107214911&quot;,&quot;itemData&quot;:{&quot;type&quot;:&quot;article-journal&quot;,&quot;id&quot;:&quot;0928dc0c-4408-3095-b194-265107214911&quot;,&quot;title&quot;:&quot;Molecular dynamics of liquid–electrode interface by integrating Coulomb interaction into universal neural network potential&quot;,&quot;author&quot;:[{&quot;family&quot;:&quot;Hisama&quot;,&quot;given&quot;:&quot;Kaoru&quot;,&quot;parse-names&quot;:false,&quot;dropping-particle&quot;:&quot;&quot;,&quot;non-dropping-particle&quot;:&quot;&quot;},{&quot;family&quot;:&quot;Valadez Huerta&quot;,&quot;given&quot;:&quot;Gerardo&quot;,&quot;parse-names&quot;:false,&quot;dropping-particle&quot;:&quot;&quot;,&quot;non-dropping-particle&quot;:&quot;&quot;},{&quot;family&quot;:&quot;Koyama&quot;,&quot;given&quot;:&quot;Michihisa&quot;,&quot;parse-names&quot;:false,&quot;dropping-particle&quot;:&quot;&quot;,&quot;non-dropping-particle&quot;:&quot;&quot;}],&quot;container-title&quot;:&quot;Journal of Computational Chemistry&quot;,&quot;container-title-short&quot;:&quot;J Comput Chem&quot;,&quot;accessed&quot;:{&quot;date-parts&quot;:[[2025,4,25]]},&quot;DOI&quot;:&quot;10.1002/JCC.27487&quot;,&quot;ISSN&quot;:&quot;1096-987X&quot;,&quot;URL&quot;:&quot;/doi/pdf/10.1002/jcc.27487&quot;,&quot;issued&quot;:{&quot;date-parts&quot;:[[2024,12,15]]},&quot;page&quot;:&quot;2805-2811&quot;,&quot;abstract&quot;:&quot;Computational understanding of the liquid–electrode interface faces challenges in efficiently incorporating reactive force fields and electrostatic potentials within reasonable computational costs. Although universal neural network potentials (UNNPs), representing pretrained machine learning interatomic potentials, are emerging, current UNNP models lack explicit treatment of Coulomb potentials, and methods for integrating additional charges on the electrode remain to be established. We propose a method to analyze liquid–electrode interfaces by integrating a UNNP, known as the preferred potential, with Coulomb potentials using the ONIOM method. This approach extends the applicability of UNNPs to electrode–liquid interface systems. Through molecular dynamics simulations of graphene–water and graphene oxide (GO)–water interfaces, we demonstrate the effectiveness of our method. Our findings emphasize the necessity of incorporating long-range Coulomb potentials into the water potential to accurately describe water polarization at the interface. Furthermore, we observe that functional groups on the GO electrode influence both polarization and capacitance.&quot;,&quot;publisher&quot;:&quot;John Wiley &amp; Sons, Ltd&quot;,&quot;issue&quot;:&quot;32&quot;,&quot;volume&quot;:&quot;45&quot;},&quot;isTemporary&quot;:false}]},{&quot;citationID&quot;:&quot;MENDELEY_CITATION_83353fec-578c-486c-bba1-122ac98e5790&quot;,&quot;properties&quot;:{&quot;noteIndex&quot;:0},&quot;isEdited&quot;:false,&quot;manualOverride&quot;:{&quot;isManuallyOverridden&quot;:false,&quot;citeprocText&quot;:&quot;[24]&quot;,&quot;manualOverrideText&quot;:&quot;&quot;},&quot;citationTag&quot;:&quot;MENDELEY_CITATION_v3_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&quot;,&quot;citationItems&quot;:[{&quot;id&quot;:&quot;9e4cfd34-ef0c-3d19-9b66-d307070b7361&quot;,&quot;itemData&quot;:{&quot;type&quot;:&quot;article-journal&quot;,&quot;id&quot;:&quot;9e4cfd34-ef0c-3d19-9b66-d307070b7361&quot;,&quot;title&quot;:&quot;Relationship between activation energy and bottleneck size for Li+ ion conduction in NASICON materials of composition LiMM′(PO4)3; M, M′ = Ge, Ti, Sn, Hf&quot;,&quot;author&quot;:[{&quot;family&quot;:&quot;Martínez-Juárez&quot;,&quot;given&quot;:&quot;Ana&quot;,&quot;parse-names&quot;:false,&quot;dropping-particle&quot;:&quot;&quot;,&quot;non-dropping-particle&quot;:&quot;&quot;},{&quot;family&quot;:&quot;Pecharromán&quot;,&quot;given&quot;:&quot;Carlos&quot;,&quot;parse-names&quot;:false,&quot;dropping-particle&quot;:&quot;&quot;,&quot;non-dropping-particle&quot;:&quot;&quot;},{&quot;family&quot;:&quot;Iglesias&quot;,&quot;given&quot;:&quot;Juan E.&quot;,&quot;parse-names&quot;:false,&quot;dropping-particle&quot;:&quot;&quot;,&quot;non-dropping-particle&quot;:&quot;&quot;},{&quot;family&quot;:&quot;Rojo&quot;,&quot;given&quot;:&quot;José M.&quot;,&quot;parse-names&quot;:false,&quot;dropping-particle&quot;:&quot;&quot;,&quot;non-dropping-particle&quot;:&quot;&quot;}],&quot;container-title&quot;:&quot;Journal of Physical Chemistry B&quot;,&quot;accessed&quot;:{&quot;date-parts&quot;:[[2025,4,11]]},&quot;DOI&quot;:&quot;10.1021/JP973296C/ASSET/IMAGES/LARGE/JP973296CF00004.JPEG&quot;,&quot;ISSN&quot;:&quot;15206106&quot;,&quot;URL&quot;:&quot;https://pubs.acs.org/doi/full/10.1021/jp973296c&quot;,&quot;issued&quot;:{&quot;date-parts&quot;:[[1998,1,8]]},&quot;page&quot;:&quot;372-375&quot;,&quot;abstract&quot;:&quot;The activation energy involved in the motion of Li+ ions along the conduction channels of the NASICON framework has been determined from electrical conductivity measurements in samples of composition LiM2-(PO4)3 and LiMM′(PO4)3, where M and M′ are Ge, Ti, Sn, and Hf, all compounds belonging to space group R3c. Two lithium sites, M1 and M2, inside the channels, can be distinguished. The sites are connected through triangular bottlenecks of oxygen atoms, and the size of the bottleneck has been estimated from refined and simulated structures for each composition. The plot of activation energy vs bottleneck size shows two regimes: for sizes up to 2.04 Å the activation energy decreases steeply, but above 2.04 Å the activation energy is almost constant. These regimes are discussed on the basis of the effective Li+ ionic radius for the compounds analyzed.&quot;,&quot;publisher&quot;:&quot;American Chemical Society&quot;,&quot;issue&quot;:&quot;2&quot;,&quot;volume&quot;:&quot;102&quot;,&quot;container-title-short&quot;:&quot;&quot;},&quot;isTemporary&quot;:false}]}]"/>
    <we:property name="MENDELEY_CITATIONS_LOCALE_CODE" value="&quot;en-US&quot;"/>
    <we:property name="MENDELEY_CITATIONS_STYLE" value="{&quot;id&quot;:&quot;https://www.zotero.org/styles/chemical-engineering-journal&quot;,&quot;title&quot;:&quot;Chemical Engineering Journal&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2.xml><?xml version="1.0" encoding="utf-8"?>
<ds:datastoreItem xmlns:ds="http://schemas.openxmlformats.org/officeDocument/2006/customXml" ds:itemID="{9D03ED00-50A9-4B75-9D91-A33C72003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57</TotalTime>
  <Pages>1</Pages>
  <Words>8621</Words>
  <Characters>49140</Characters>
  <Application>Microsoft Office Word</Application>
  <DocSecurity>0</DocSecurity>
  <Lines>409</Lines>
  <Paragraphs>115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DOI: 10</vt:lpstr>
      <vt:lpstr>DOI: 10</vt:lpstr>
    </vt:vector>
  </TitlesOfParts>
  <Company>WILEY-VCH Verlag GmbH &amp; Co. KGaA</Company>
  <LinksUpToDate>false</LinksUpToDate>
  <CharactersWithSpaces>57646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DOI: 10</dc:title>
  <dc:creator>ABoeer</dc:creator>
  <cp:lastModifiedBy>Kanmani B Balakrishnan J</cp:lastModifiedBy>
  <cp:revision>24</cp:revision>
  <cp:lastPrinted>2010-04-21T09:22:00Z</cp:lastPrinted>
  <dcterms:created xsi:type="dcterms:W3CDTF">2025-10-17T03:28:00Z</dcterms:created>
  <dcterms:modified xsi:type="dcterms:W3CDTF">2025-11-01T09:12:00Z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2C2C2DC446934D4CBA6A00C7F61B9CF2</vt:lpwstr>
  </property>
  <property fmtid="{D5CDD505-2E9C-101B-9397-08002B2CF9AE}" pid="4" name="GrammarlyDocumentId">
    <vt:lpwstr>bc0fbd6c7460cdafe1ce6a437698f3f8f3936163aa37fcfed3441acea4ff9095</vt:lpwstr>
  </property>
</Properties>
</file>