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9AD7FB" w14:textId="7DA1B1D1" w:rsidR="00E721F0" w:rsidRPr="00DD3670" w:rsidRDefault="0053776A" w:rsidP="008E2A4A">
      <w:pPr>
        <w:pStyle w:val="Title2"/>
        <w:spacing w:before="120" w:after="120" w:line="240" w:lineRule="auto"/>
        <w:jc w:val="left"/>
        <w:rPr>
          <w:b w:val="0"/>
          <w:sz w:val="36"/>
        </w:rPr>
      </w:pPr>
      <w:r w:rsidRPr="00DD3670">
        <w:rPr>
          <w:b w:val="0"/>
        </w:rPr>
        <w:t>Supporting Information</w:t>
      </w:r>
      <w:r w:rsidR="00E96B8B" w:rsidRPr="00DD3670">
        <w:rPr>
          <w:b w:val="0"/>
        </w:rPr>
        <w:t xml:space="preserve"> for</w:t>
      </w:r>
    </w:p>
    <w:p w14:paraId="51634002" w14:textId="33963276" w:rsidR="00E96B8B" w:rsidRPr="00DD3670" w:rsidRDefault="00E96B8B" w:rsidP="008E2A4A">
      <w:pPr>
        <w:widowControl/>
        <w:spacing w:before="120" w:after="120" w:line="240" w:lineRule="auto"/>
        <w:rPr>
          <w:b/>
          <w:kern w:val="36"/>
          <w:sz w:val="28"/>
          <w:szCs w:val="28"/>
        </w:rPr>
      </w:pPr>
      <w:r w:rsidRPr="00DD3670">
        <w:rPr>
          <w:b/>
          <w:kern w:val="36"/>
          <w:sz w:val="28"/>
          <w:szCs w:val="28"/>
        </w:rPr>
        <w:t>Interfacial Evolution and Accelerated Aging Mechanism for LiFePO</w:t>
      </w:r>
      <w:r w:rsidRPr="00DD3670">
        <w:rPr>
          <w:b/>
          <w:kern w:val="36"/>
          <w:sz w:val="28"/>
          <w:szCs w:val="28"/>
          <w:vertAlign w:val="subscript"/>
        </w:rPr>
        <w:t>4</w:t>
      </w:r>
      <w:r w:rsidRPr="00DD3670">
        <w:rPr>
          <w:b/>
          <w:kern w:val="36"/>
          <w:sz w:val="28"/>
          <w:szCs w:val="28"/>
        </w:rPr>
        <w:t>/Graphite Pouch Batteries under Multi-Step Indirect Activation</w:t>
      </w:r>
    </w:p>
    <w:p w14:paraId="679B77CC" w14:textId="7E9EFBE6" w:rsidR="00E96B8B" w:rsidRPr="00DD3670" w:rsidRDefault="00E96B8B" w:rsidP="008E2A4A">
      <w:pPr>
        <w:spacing w:before="120" w:after="120" w:line="240" w:lineRule="auto"/>
        <w:rPr>
          <w:iCs/>
        </w:rPr>
      </w:pPr>
      <w:r w:rsidRPr="00DD3670">
        <w:rPr>
          <w:iCs/>
          <w:lang w:eastAsia="ja-JP"/>
        </w:rPr>
        <w:t>Yun Liu</w:t>
      </w:r>
      <w:r w:rsidRPr="00DD3670">
        <w:rPr>
          <w:iCs/>
          <w:vertAlign w:val="superscript"/>
        </w:rPr>
        <w:t>1,2</w:t>
      </w:r>
      <w:r w:rsidRPr="00DD3670">
        <w:rPr>
          <w:iCs/>
          <w:lang w:eastAsia="ja-JP"/>
        </w:rPr>
        <w:t>,</w:t>
      </w:r>
      <w:r w:rsidRPr="00DD3670">
        <w:rPr>
          <w:iCs/>
        </w:rPr>
        <w:t xml:space="preserve"> </w:t>
      </w:r>
      <w:proofErr w:type="spellStart"/>
      <w:r w:rsidRPr="00DD3670">
        <w:rPr>
          <w:iCs/>
          <w:lang w:eastAsia="ja-JP"/>
        </w:rPr>
        <w:t>Jinyang</w:t>
      </w:r>
      <w:proofErr w:type="spellEnd"/>
      <w:r w:rsidRPr="00DD3670">
        <w:rPr>
          <w:iCs/>
          <w:lang w:eastAsia="ja-JP"/>
        </w:rPr>
        <w:t xml:space="preserve"> Dong</w:t>
      </w:r>
      <w:r w:rsidRPr="00DD3670">
        <w:rPr>
          <w:iCs/>
          <w:vertAlign w:val="superscript"/>
        </w:rPr>
        <w:t>1,2</w:t>
      </w:r>
      <w:r w:rsidRPr="00DD3670">
        <w:rPr>
          <w:iCs/>
          <w:lang w:eastAsia="ja-JP"/>
        </w:rPr>
        <w:t>*,</w:t>
      </w:r>
      <w:r w:rsidRPr="00DD3670">
        <w:rPr>
          <w:iCs/>
        </w:rPr>
        <w:t xml:space="preserve"> </w:t>
      </w:r>
      <w:proofErr w:type="spellStart"/>
      <w:r w:rsidRPr="00DD3670">
        <w:rPr>
          <w:iCs/>
        </w:rPr>
        <w:t>Jialong</w:t>
      </w:r>
      <w:proofErr w:type="spellEnd"/>
      <w:r w:rsidRPr="00DD3670">
        <w:rPr>
          <w:iCs/>
          <w:lang w:eastAsia="ja-JP"/>
        </w:rPr>
        <w:t xml:space="preserve"> </w:t>
      </w:r>
      <w:r w:rsidRPr="00DD3670">
        <w:rPr>
          <w:iCs/>
        </w:rPr>
        <w:t>Zhou</w:t>
      </w:r>
      <w:r w:rsidRPr="00DD3670">
        <w:rPr>
          <w:iCs/>
          <w:vertAlign w:val="superscript"/>
        </w:rPr>
        <w:t>1,2</w:t>
      </w:r>
      <w:r w:rsidRPr="00DD3670">
        <w:rPr>
          <w:iCs/>
          <w:lang w:eastAsia="ja-JP"/>
        </w:rPr>
        <w:t xml:space="preserve">, </w:t>
      </w:r>
      <w:proofErr w:type="spellStart"/>
      <w:r w:rsidRPr="00DD3670">
        <w:rPr>
          <w:iCs/>
          <w:lang w:eastAsia="ja-JP"/>
        </w:rPr>
        <w:t>Yibiao</w:t>
      </w:r>
      <w:proofErr w:type="spellEnd"/>
      <w:r w:rsidRPr="00DD3670">
        <w:rPr>
          <w:iCs/>
          <w:lang w:eastAsia="ja-JP"/>
        </w:rPr>
        <w:t xml:space="preserve"> Guan</w:t>
      </w:r>
      <w:r w:rsidRPr="00DD3670">
        <w:rPr>
          <w:iCs/>
          <w:vertAlign w:val="superscript"/>
        </w:rPr>
        <w:t>3</w:t>
      </w:r>
      <w:r w:rsidRPr="00DD3670">
        <w:rPr>
          <w:iCs/>
        </w:rPr>
        <w:t xml:space="preserve">, </w:t>
      </w:r>
      <w:proofErr w:type="spellStart"/>
      <w:r w:rsidRPr="00DD3670">
        <w:rPr>
          <w:iCs/>
        </w:rPr>
        <w:t>Yimin</w:t>
      </w:r>
      <w:proofErr w:type="spellEnd"/>
      <w:r w:rsidRPr="00DD3670">
        <w:rPr>
          <w:iCs/>
        </w:rPr>
        <w:t xml:space="preserve"> Wei</w:t>
      </w:r>
      <w:r w:rsidRPr="00DD3670">
        <w:rPr>
          <w:iCs/>
          <w:vertAlign w:val="superscript"/>
        </w:rPr>
        <w:t>4</w:t>
      </w:r>
      <w:r w:rsidRPr="00DD3670">
        <w:rPr>
          <w:iCs/>
        </w:rPr>
        <w:t xml:space="preserve">, </w:t>
      </w:r>
      <w:proofErr w:type="spellStart"/>
      <w:r w:rsidRPr="00DD3670">
        <w:rPr>
          <w:iCs/>
        </w:rPr>
        <w:t>Jiayu</w:t>
      </w:r>
      <w:proofErr w:type="spellEnd"/>
      <w:r w:rsidRPr="00DD3670">
        <w:rPr>
          <w:iCs/>
        </w:rPr>
        <w:t xml:space="preserve"> Zhao</w:t>
      </w:r>
      <w:r w:rsidRPr="00DD3670">
        <w:rPr>
          <w:iCs/>
          <w:vertAlign w:val="superscript"/>
        </w:rPr>
        <w:t>1,2</w:t>
      </w:r>
      <w:r w:rsidRPr="00DD3670">
        <w:rPr>
          <w:iCs/>
        </w:rPr>
        <w:t>,</w:t>
      </w:r>
      <w:r w:rsidRPr="00DD3670">
        <w:rPr>
          <w:iCs/>
          <w:lang w:eastAsia="ja-JP"/>
        </w:rPr>
        <w:t xml:space="preserve"> </w:t>
      </w:r>
      <w:proofErr w:type="spellStart"/>
      <w:r w:rsidRPr="00DD3670">
        <w:rPr>
          <w:iCs/>
          <w:lang w:eastAsia="ja-JP"/>
        </w:rPr>
        <w:t>Jinding</w:t>
      </w:r>
      <w:proofErr w:type="spellEnd"/>
      <w:r w:rsidRPr="00DD3670">
        <w:rPr>
          <w:iCs/>
          <w:lang w:eastAsia="ja-JP"/>
        </w:rPr>
        <w:t xml:space="preserve"> Liang</w:t>
      </w:r>
      <w:r w:rsidRPr="00DD3670">
        <w:rPr>
          <w:iCs/>
          <w:vertAlign w:val="superscript"/>
        </w:rPr>
        <w:t>4</w:t>
      </w:r>
      <w:r w:rsidRPr="00DD3670">
        <w:rPr>
          <w:iCs/>
          <w:lang w:eastAsia="ja-JP"/>
        </w:rPr>
        <w:t xml:space="preserve">, </w:t>
      </w:r>
      <w:proofErr w:type="spellStart"/>
      <w:r w:rsidRPr="00DD3670">
        <w:rPr>
          <w:iCs/>
          <w:lang w:eastAsia="ja-JP"/>
        </w:rPr>
        <w:t>Xixiu</w:t>
      </w:r>
      <w:proofErr w:type="spellEnd"/>
      <w:r w:rsidRPr="00DD3670">
        <w:rPr>
          <w:iCs/>
          <w:lang w:eastAsia="ja-JP"/>
        </w:rPr>
        <w:t xml:space="preserve"> Shi</w:t>
      </w:r>
      <w:r w:rsidRPr="00DD3670">
        <w:rPr>
          <w:iCs/>
          <w:vertAlign w:val="superscript"/>
        </w:rPr>
        <w:t>4</w:t>
      </w:r>
      <w:r w:rsidRPr="00DD3670">
        <w:rPr>
          <w:iCs/>
          <w:lang w:eastAsia="ja-JP"/>
        </w:rPr>
        <w:t xml:space="preserve">, </w:t>
      </w:r>
      <w:r w:rsidRPr="00DD3670">
        <w:rPr>
          <w:iCs/>
        </w:rPr>
        <w:t>Kang</w:t>
      </w:r>
      <w:r w:rsidRPr="00DD3670">
        <w:rPr>
          <w:iCs/>
          <w:lang w:eastAsia="ja-JP"/>
        </w:rPr>
        <w:t xml:space="preserve"> </w:t>
      </w:r>
      <w:r w:rsidRPr="00DD3670">
        <w:rPr>
          <w:iCs/>
        </w:rPr>
        <w:t>Yan</w:t>
      </w:r>
      <w:r w:rsidRPr="00DD3670">
        <w:rPr>
          <w:iCs/>
          <w:vertAlign w:val="superscript"/>
        </w:rPr>
        <w:t>2</w:t>
      </w:r>
      <w:r w:rsidRPr="00DD3670">
        <w:rPr>
          <w:iCs/>
          <w:lang w:eastAsia="ja-JP"/>
        </w:rPr>
        <w:t>,</w:t>
      </w:r>
      <w:r w:rsidRPr="00DD3670">
        <w:rPr>
          <w:iCs/>
        </w:rPr>
        <w:t xml:space="preserve"> </w:t>
      </w:r>
      <w:r w:rsidRPr="00DD3670">
        <w:rPr>
          <w:iCs/>
          <w:lang w:eastAsia="ja-JP"/>
        </w:rPr>
        <w:t>Yun Lu</w:t>
      </w:r>
      <w:r w:rsidRPr="00DD3670">
        <w:rPr>
          <w:iCs/>
          <w:vertAlign w:val="superscript"/>
        </w:rPr>
        <w:t>1,2</w:t>
      </w:r>
      <w:r w:rsidRPr="00DD3670">
        <w:rPr>
          <w:iCs/>
          <w:lang w:eastAsia="ja-JP"/>
        </w:rPr>
        <w:t>,</w:t>
      </w:r>
      <w:r w:rsidRPr="00DD3670">
        <w:rPr>
          <w:iCs/>
          <w:vertAlign w:val="superscript"/>
          <w:lang w:eastAsia="ja-JP"/>
        </w:rPr>
        <w:t xml:space="preserve"> </w:t>
      </w:r>
      <w:r w:rsidRPr="00DD3670">
        <w:rPr>
          <w:iCs/>
        </w:rPr>
        <w:t>Ning</w:t>
      </w:r>
      <w:r w:rsidRPr="00DD3670">
        <w:rPr>
          <w:iCs/>
          <w:lang w:eastAsia="ja-JP"/>
        </w:rPr>
        <w:t xml:space="preserve"> </w:t>
      </w:r>
      <w:r w:rsidRPr="00DD3670">
        <w:rPr>
          <w:iCs/>
        </w:rPr>
        <w:t>Li</w:t>
      </w:r>
      <w:r w:rsidRPr="00DD3670">
        <w:rPr>
          <w:iCs/>
          <w:vertAlign w:val="superscript"/>
        </w:rPr>
        <w:t>1,2</w:t>
      </w:r>
      <w:r w:rsidRPr="00DD3670">
        <w:rPr>
          <w:iCs/>
          <w:lang w:eastAsia="ja-JP"/>
        </w:rPr>
        <w:t>,</w:t>
      </w:r>
      <w:r w:rsidRPr="00DD3670">
        <w:rPr>
          <w:iCs/>
          <w:vertAlign w:val="superscript"/>
          <w:lang w:eastAsia="ja-JP"/>
        </w:rPr>
        <w:t xml:space="preserve"> </w:t>
      </w:r>
      <w:proofErr w:type="spellStart"/>
      <w:r w:rsidRPr="00DD3670">
        <w:rPr>
          <w:iCs/>
          <w:lang w:eastAsia="ja-JP"/>
        </w:rPr>
        <w:t>Yuefeng</w:t>
      </w:r>
      <w:proofErr w:type="spellEnd"/>
      <w:r w:rsidRPr="00DD3670">
        <w:rPr>
          <w:iCs/>
          <w:lang w:eastAsia="ja-JP"/>
        </w:rPr>
        <w:t xml:space="preserve"> Su</w:t>
      </w:r>
      <w:r w:rsidRPr="00DD3670">
        <w:rPr>
          <w:iCs/>
          <w:vertAlign w:val="superscript"/>
        </w:rPr>
        <w:t>1,2</w:t>
      </w:r>
      <w:r w:rsidRPr="00DD3670">
        <w:rPr>
          <w:iCs/>
          <w:lang w:eastAsia="ja-JP"/>
        </w:rPr>
        <w:t>*,</w:t>
      </w:r>
      <w:r w:rsidRPr="00DD3670">
        <w:rPr>
          <w:iCs/>
          <w:vertAlign w:val="superscript"/>
          <w:lang w:eastAsia="ja-JP"/>
        </w:rPr>
        <w:t xml:space="preserve"> </w:t>
      </w:r>
      <w:r w:rsidRPr="00DD3670">
        <w:rPr>
          <w:iCs/>
          <w:lang w:eastAsia="ja-JP"/>
        </w:rPr>
        <w:t>Feng Wu</w:t>
      </w:r>
      <w:r w:rsidRPr="00DD3670">
        <w:rPr>
          <w:iCs/>
          <w:vertAlign w:val="superscript"/>
        </w:rPr>
        <w:t>2</w:t>
      </w:r>
      <w:r w:rsidRPr="00DD3670">
        <w:rPr>
          <w:iCs/>
          <w:lang w:eastAsia="ja-JP"/>
        </w:rPr>
        <w:t>,</w:t>
      </w:r>
      <w:r w:rsidRPr="00DD3670">
        <w:rPr>
          <w:iCs/>
          <w:vertAlign w:val="superscript"/>
        </w:rPr>
        <w:t xml:space="preserve"> </w:t>
      </w:r>
      <w:r w:rsidRPr="00DD3670">
        <w:rPr>
          <w:iCs/>
          <w:lang w:eastAsia="ja-JP"/>
        </w:rPr>
        <w:t xml:space="preserve"> Lai Chen</w:t>
      </w:r>
      <w:r w:rsidRPr="00DD3670">
        <w:rPr>
          <w:iCs/>
          <w:vertAlign w:val="superscript"/>
        </w:rPr>
        <w:t>1,2</w:t>
      </w:r>
      <w:r w:rsidRPr="00DD3670">
        <w:rPr>
          <w:iCs/>
          <w:lang w:eastAsia="ja-JP"/>
        </w:rPr>
        <w:t>*</w:t>
      </w:r>
    </w:p>
    <w:p w14:paraId="524FBC9A" w14:textId="77777777" w:rsidR="00E96B8B" w:rsidRPr="00DD3670" w:rsidRDefault="00E96B8B" w:rsidP="008E2A4A">
      <w:pPr>
        <w:spacing w:before="120" w:after="120" w:line="240" w:lineRule="auto"/>
        <w:rPr>
          <w:kern w:val="0"/>
          <w:lang w:val="en-GB"/>
        </w:rPr>
      </w:pPr>
      <w:r w:rsidRPr="00DD3670">
        <w:rPr>
          <w:iCs/>
          <w:vertAlign w:val="superscript"/>
        </w:rPr>
        <w:t xml:space="preserve">1 </w:t>
      </w:r>
      <w:r w:rsidRPr="00DD3670">
        <w:rPr>
          <w:kern w:val="0"/>
          <w:lang w:val="en-GB" w:eastAsia="ja-JP"/>
        </w:rPr>
        <w:t xml:space="preserve">School of Materials Science and Engineering, Beijing Key Laboratory of Environmental Science and Engineering, Beijing Institute of Technology, Beijing 100081, </w:t>
      </w:r>
      <w:r w:rsidRPr="00DD3670">
        <w:rPr>
          <w:rFonts w:hint="eastAsia"/>
          <w:kern w:val="0"/>
          <w:lang w:val="en-GB"/>
        </w:rPr>
        <w:t xml:space="preserve">P. R. </w:t>
      </w:r>
      <w:r w:rsidRPr="00DD3670">
        <w:rPr>
          <w:kern w:val="0"/>
          <w:lang w:val="en-GB" w:eastAsia="ja-JP"/>
        </w:rPr>
        <w:t>China</w:t>
      </w:r>
    </w:p>
    <w:p w14:paraId="58034493" w14:textId="77777777" w:rsidR="00E96B8B" w:rsidRPr="00DD3670" w:rsidRDefault="00E96B8B" w:rsidP="008E2A4A">
      <w:pPr>
        <w:spacing w:before="120" w:after="120" w:line="240" w:lineRule="auto"/>
        <w:rPr>
          <w:kern w:val="0"/>
          <w:lang w:val="en-GB"/>
        </w:rPr>
      </w:pPr>
      <w:r w:rsidRPr="00DD3670">
        <w:rPr>
          <w:iCs/>
          <w:vertAlign w:val="superscript"/>
        </w:rPr>
        <w:t xml:space="preserve">2 </w:t>
      </w:r>
      <w:r w:rsidRPr="00DD3670">
        <w:rPr>
          <w:kern w:val="0"/>
          <w:lang w:val="en-GB" w:eastAsia="ja-JP"/>
        </w:rPr>
        <w:t xml:space="preserve">Chongqing Innovation </w:t>
      </w:r>
      <w:proofErr w:type="spellStart"/>
      <w:r w:rsidRPr="00DD3670">
        <w:rPr>
          <w:kern w:val="0"/>
          <w:lang w:val="en-GB" w:eastAsia="ja-JP"/>
        </w:rPr>
        <w:t>Center</w:t>
      </w:r>
      <w:proofErr w:type="spellEnd"/>
      <w:r w:rsidRPr="00DD3670">
        <w:rPr>
          <w:kern w:val="0"/>
          <w:lang w:val="en-GB" w:eastAsia="ja-JP"/>
        </w:rPr>
        <w:t xml:space="preserve">, Beijing Institute of Technology, Chongqing 401120, </w:t>
      </w:r>
      <w:r w:rsidRPr="00DD3670">
        <w:rPr>
          <w:rFonts w:hint="eastAsia"/>
          <w:kern w:val="0"/>
          <w:lang w:val="en-GB"/>
        </w:rPr>
        <w:t xml:space="preserve">P. R. </w:t>
      </w:r>
      <w:r w:rsidRPr="00DD3670">
        <w:rPr>
          <w:kern w:val="0"/>
          <w:lang w:val="en-GB" w:eastAsia="ja-JP"/>
        </w:rPr>
        <w:t>China</w:t>
      </w:r>
    </w:p>
    <w:p w14:paraId="106A9312" w14:textId="77777777" w:rsidR="00E96B8B" w:rsidRPr="00DD3670" w:rsidRDefault="00E96B8B" w:rsidP="008E2A4A">
      <w:pPr>
        <w:spacing w:before="120" w:after="120" w:line="240" w:lineRule="auto"/>
        <w:rPr>
          <w:iCs/>
        </w:rPr>
      </w:pPr>
      <w:r w:rsidRPr="00DD3670">
        <w:rPr>
          <w:iCs/>
          <w:vertAlign w:val="superscript"/>
        </w:rPr>
        <w:t xml:space="preserve">3 </w:t>
      </w:r>
      <w:r w:rsidRPr="00DD3670">
        <w:rPr>
          <w:iCs/>
        </w:rPr>
        <w:t xml:space="preserve">China Electric Power Research Institute, </w:t>
      </w:r>
      <w:proofErr w:type="spellStart"/>
      <w:r w:rsidRPr="00DD3670">
        <w:rPr>
          <w:iCs/>
        </w:rPr>
        <w:t>Haidian</w:t>
      </w:r>
      <w:proofErr w:type="spellEnd"/>
      <w:r w:rsidRPr="00DD3670">
        <w:rPr>
          <w:iCs/>
        </w:rPr>
        <w:t xml:space="preserve"> District</w:t>
      </w:r>
      <w:r w:rsidRPr="00DD3670">
        <w:rPr>
          <w:rFonts w:hint="eastAsia"/>
          <w:iCs/>
        </w:rPr>
        <w:t>,</w:t>
      </w:r>
      <w:r w:rsidRPr="00DD3670">
        <w:rPr>
          <w:iCs/>
        </w:rPr>
        <w:t xml:space="preserve"> Beijing 100192, </w:t>
      </w:r>
      <w:r w:rsidRPr="00DD3670">
        <w:rPr>
          <w:rFonts w:hint="eastAsia"/>
          <w:kern w:val="0"/>
          <w:lang w:val="en-GB"/>
        </w:rPr>
        <w:t xml:space="preserve">P. R. </w:t>
      </w:r>
      <w:r w:rsidRPr="00DD3670">
        <w:rPr>
          <w:iCs/>
        </w:rPr>
        <w:t>China</w:t>
      </w:r>
    </w:p>
    <w:p w14:paraId="6398E0F2" w14:textId="77777777" w:rsidR="00E96B8B" w:rsidRPr="00DD3670" w:rsidRDefault="00E96B8B" w:rsidP="008E2A4A">
      <w:pPr>
        <w:spacing w:before="120" w:after="120" w:line="240" w:lineRule="auto"/>
        <w:rPr>
          <w:iCs/>
        </w:rPr>
      </w:pPr>
      <w:r w:rsidRPr="00DD3670">
        <w:rPr>
          <w:iCs/>
          <w:vertAlign w:val="superscript"/>
        </w:rPr>
        <w:t xml:space="preserve">4 </w:t>
      </w:r>
      <w:r w:rsidRPr="00DD3670">
        <w:rPr>
          <w:iCs/>
        </w:rPr>
        <w:t xml:space="preserve">21C Innovation Laboratory, Contemporary </w:t>
      </w:r>
      <w:proofErr w:type="spellStart"/>
      <w:r w:rsidRPr="00DD3670">
        <w:rPr>
          <w:iCs/>
        </w:rPr>
        <w:t>Amperex</w:t>
      </w:r>
      <w:proofErr w:type="spellEnd"/>
      <w:r w:rsidRPr="00DD3670">
        <w:rPr>
          <w:iCs/>
        </w:rPr>
        <w:t xml:space="preserve"> Technology Co., </w:t>
      </w:r>
      <w:proofErr w:type="spellStart"/>
      <w:r w:rsidRPr="00DD3670">
        <w:rPr>
          <w:iCs/>
        </w:rPr>
        <w:t>Ningde</w:t>
      </w:r>
      <w:proofErr w:type="spellEnd"/>
      <w:r w:rsidRPr="00DD3670">
        <w:rPr>
          <w:iCs/>
        </w:rPr>
        <w:t xml:space="preserve"> 352100,</w:t>
      </w:r>
      <w:r w:rsidRPr="00DD3670">
        <w:rPr>
          <w:rFonts w:hint="eastAsia"/>
          <w:iCs/>
        </w:rPr>
        <w:t xml:space="preserve"> </w:t>
      </w:r>
      <w:r w:rsidRPr="00DD3670">
        <w:rPr>
          <w:rFonts w:hint="eastAsia"/>
          <w:kern w:val="0"/>
          <w:lang w:val="en-GB"/>
        </w:rPr>
        <w:t xml:space="preserve">P. R. </w:t>
      </w:r>
      <w:r w:rsidRPr="00DD3670">
        <w:rPr>
          <w:iCs/>
        </w:rPr>
        <w:t>China</w:t>
      </w:r>
    </w:p>
    <w:p w14:paraId="75BC0E28" w14:textId="7AFA81B9" w:rsidR="005F23F4" w:rsidRPr="00DD3670" w:rsidRDefault="00E96B8B" w:rsidP="008E2A4A">
      <w:pPr>
        <w:autoSpaceDE w:val="0"/>
        <w:autoSpaceDN w:val="0"/>
        <w:adjustRightInd w:val="0"/>
        <w:snapToGrid w:val="0"/>
        <w:spacing w:before="120" w:after="120" w:line="240" w:lineRule="auto"/>
        <w:jc w:val="left"/>
        <w:rPr>
          <w:rFonts w:eastAsia="DengXian"/>
        </w:rPr>
      </w:pPr>
      <w:r w:rsidRPr="00DD3670">
        <w:rPr>
          <w:kern w:val="0"/>
          <w:lang w:val="en-GB"/>
        </w:rPr>
        <w:t>*Corresponding author</w:t>
      </w:r>
      <w:r w:rsidRPr="00DD3670">
        <w:rPr>
          <w:rFonts w:hint="eastAsia"/>
          <w:kern w:val="0"/>
          <w:lang w:val="en-GB"/>
        </w:rPr>
        <w:t>s</w:t>
      </w:r>
      <w:r w:rsidRPr="00DD3670">
        <w:rPr>
          <w:kern w:val="0"/>
          <w:lang w:val="en-GB"/>
        </w:rPr>
        <w:t xml:space="preserve">. E-mail: </w:t>
      </w:r>
      <w:hyperlink r:id="rId9" w:history="1">
        <w:r w:rsidRPr="00DD3670">
          <w:rPr>
            <w:kern w:val="0"/>
            <w:lang w:eastAsia="ja-JP"/>
          </w:rPr>
          <w:t>jydong@bit.edu.cn</w:t>
        </w:r>
      </w:hyperlink>
      <w:r w:rsidRPr="00DD3670">
        <w:rPr>
          <w:rFonts w:hint="eastAsia"/>
          <w:kern w:val="0"/>
          <w:lang w:val="en-GB"/>
        </w:rPr>
        <w:t xml:space="preserve"> (</w:t>
      </w:r>
      <w:proofErr w:type="spellStart"/>
      <w:r w:rsidRPr="00DD3670">
        <w:rPr>
          <w:iCs/>
          <w:lang w:eastAsia="ja-JP"/>
        </w:rPr>
        <w:t>Jinyang</w:t>
      </w:r>
      <w:proofErr w:type="spellEnd"/>
      <w:r w:rsidRPr="00DD3670">
        <w:rPr>
          <w:iCs/>
          <w:lang w:eastAsia="ja-JP"/>
        </w:rPr>
        <w:t xml:space="preserve"> Dong</w:t>
      </w:r>
      <w:r w:rsidRPr="00DD3670">
        <w:rPr>
          <w:rFonts w:hint="eastAsia"/>
          <w:iCs/>
        </w:rPr>
        <w:t>)</w:t>
      </w:r>
      <w:r w:rsidRPr="00DD3670">
        <w:rPr>
          <w:kern w:val="0"/>
          <w:lang w:val="en-GB"/>
        </w:rPr>
        <w:t xml:space="preserve">; </w:t>
      </w:r>
      <w:hyperlink r:id="rId10" w:history="1">
        <w:r w:rsidRPr="00DD3670">
          <w:rPr>
            <w:kern w:val="0"/>
            <w:lang w:eastAsia="ja-JP"/>
          </w:rPr>
          <w:t>suyuefeng@bit.edu.cn</w:t>
        </w:r>
      </w:hyperlink>
      <w:r w:rsidRPr="00DD3670">
        <w:rPr>
          <w:rFonts w:hint="eastAsia"/>
          <w:kern w:val="0"/>
          <w:lang w:val="en-GB"/>
        </w:rPr>
        <w:t xml:space="preserve"> (</w:t>
      </w:r>
      <w:proofErr w:type="spellStart"/>
      <w:r w:rsidRPr="00DD3670">
        <w:rPr>
          <w:iCs/>
          <w:lang w:eastAsia="ja-JP"/>
        </w:rPr>
        <w:t>Yuefeng</w:t>
      </w:r>
      <w:proofErr w:type="spellEnd"/>
      <w:r w:rsidRPr="00DD3670">
        <w:rPr>
          <w:iCs/>
          <w:lang w:eastAsia="ja-JP"/>
        </w:rPr>
        <w:t xml:space="preserve"> Su</w:t>
      </w:r>
      <w:r w:rsidRPr="00DD3670">
        <w:rPr>
          <w:rFonts w:hint="eastAsia"/>
          <w:iCs/>
        </w:rPr>
        <w:t>)</w:t>
      </w:r>
      <w:r w:rsidRPr="00DD3670">
        <w:rPr>
          <w:kern w:val="0"/>
          <w:lang w:val="en-GB"/>
        </w:rPr>
        <w:t xml:space="preserve">; </w:t>
      </w:r>
      <w:hyperlink r:id="rId11" w:history="1">
        <w:r w:rsidRPr="00DD3670">
          <w:rPr>
            <w:kern w:val="0"/>
            <w:lang w:eastAsia="ja-JP"/>
          </w:rPr>
          <w:t>chenlai144@sina.com</w:t>
        </w:r>
      </w:hyperlink>
      <w:r w:rsidRPr="00DD3670">
        <w:rPr>
          <w:rFonts w:hint="eastAsia"/>
          <w:kern w:val="0"/>
          <w:lang w:val="en-GB"/>
        </w:rPr>
        <w:t xml:space="preserve"> (</w:t>
      </w:r>
      <w:r w:rsidRPr="00DD3670">
        <w:rPr>
          <w:iCs/>
          <w:lang w:eastAsia="ja-JP"/>
        </w:rPr>
        <w:t>Lai Chen</w:t>
      </w:r>
      <w:r w:rsidRPr="00DD3670">
        <w:rPr>
          <w:rFonts w:hint="eastAsia"/>
          <w:iCs/>
        </w:rPr>
        <w:t>)</w:t>
      </w:r>
    </w:p>
    <w:p w14:paraId="4E200803" w14:textId="51911A19" w:rsidR="001B7748" w:rsidRPr="00DD3670" w:rsidRDefault="008E2A4A" w:rsidP="008E2A4A">
      <w:pPr>
        <w:spacing w:before="240" w:after="240" w:line="240" w:lineRule="auto"/>
        <w:rPr>
          <w:b/>
          <w:lang w:eastAsia="en-US"/>
        </w:rPr>
      </w:pPr>
      <w:r w:rsidRPr="00DD3670">
        <w:rPr>
          <w:b/>
          <w:sz w:val="28"/>
          <w:szCs w:val="28"/>
          <w:lang w:eastAsia="en-US"/>
        </w:rPr>
        <w:t>S1</w:t>
      </w:r>
      <w:r w:rsidR="001B7748" w:rsidRPr="00DD3670">
        <w:rPr>
          <w:b/>
          <w:sz w:val="28"/>
          <w:szCs w:val="28"/>
          <w:lang w:eastAsia="en-US"/>
        </w:rPr>
        <w:t xml:space="preserve"> Experimental Section</w:t>
      </w:r>
    </w:p>
    <w:p w14:paraId="3DE03C59" w14:textId="48780D1E" w:rsidR="001B7748" w:rsidRPr="00DD3670" w:rsidRDefault="008E2A4A" w:rsidP="008E2A4A">
      <w:pPr>
        <w:spacing w:before="240" w:after="240" w:line="240" w:lineRule="auto"/>
        <w:rPr>
          <w:b/>
        </w:rPr>
      </w:pPr>
      <w:r w:rsidRPr="00DD3670">
        <w:rPr>
          <w:b/>
        </w:rPr>
        <w:t>S1</w:t>
      </w:r>
      <w:r w:rsidR="001B7748" w:rsidRPr="00DD3670">
        <w:rPr>
          <w:b/>
        </w:rPr>
        <w:t>.1 Materials Characterizations</w:t>
      </w:r>
    </w:p>
    <w:p w14:paraId="61146595" w14:textId="6689DDB1" w:rsidR="004533BA" w:rsidRPr="00DD3670" w:rsidRDefault="001B7748" w:rsidP="008E2A4A">
      <w:pPr>
        <w:spacing w:before="120" w:after="120" w:line="240" w:lineRule="auto"/>
        <w:rPr>
          <w:rFonts w:eastAsia="DengXian"/>
          <w:bCs/>
        </w:rPr>
      </w:pPr>
      <w:r w:rsidRPr="00DD3670">
        <w:rPr>
          <w:rFonts w:eastAsia="DengXian"/>
          <w:bCs/>
        </w:rPr>
        <w:t>The crystal structure data of all the samples were examined via Rint-2000 X-ray power diffraction</w:t>
      </w:r>
      <w:r w:rsidRPr="00DD3670">
        <w:t xml:space="preserve"> within</w:t>
      </w:r>
      <w:r w:rsidRPr="00DD3670">
        <w:rPr>
          <w:rFonts w:eastAsia="DengXian"/>
          <w:bCs/>
        </w:rPr>
        <w:t xml:space="preserve"> 10°–80° at a scan rate of 10° min</w:t>
      </w:r>
      <w:r w:rsidRPr="00DD3670">
        <w:rPr>
          <w:rFonts w:eastAsia="DengXian"/>
          <w:bCs/>
          <w:vertAlign w:val="superscript"/>
        </w:rPr>
        <w:t>–</w:t>
      </w:r>
      <w:r w:rsidRPr="00DD3670">
        <w:rPr>
          <w:vertAlign w:val="superscript"/>
        </w:rPr>
        <w:t xml:space="preserve">1 </w:t>
      </w:r>
      <w:r w:rsidRPr="00DD3670">
        <w:rPr>
          <w:rFonts w:eastAsia="DengXian"/>
          <w:bCs/>
        </w:rPr>
        <w:t>(the Rietveld reﬁnement program at 2° min</w:t>
      </w:r>
      <w:r w:rsidRPr="00DD3670">
        <w:rPr>
          <w:rFonts w:eastAsia="DengXian"/>
          <w:bCs/>
          <w:vertAlign w:val="superscript"/>
        </w:rPr>
        <w:t>–</w:t>
      </w:r>
      <w:r w:rsidRPr="00DD3670">
        <w:rPr>
          <w:vertAlign w:val="superscript"/>
        </w:rPr>
        <w:t xml:space="preserve">1 </w:t>
      </w:r>
      <w:r w:rsidRPr="00DD3670">
        <w:rPr>
          <w:rFonts w:eastAsia="DengXian"/>
          <w:bCs/>
        </w:rPr>
        <w:t>by</w:t>
      </w:r>
      <w:r w:rsidRPr="00DD3670">
        <w:t xml:space="preserve"> the </w:t>
      </w:r>
      <w:r w:rsidRPr="00DD3670">
        <w:rPr>
          <w:rFonts w:eastAsia="DengXian"/>
          <w:bCs/>
        </w:rPr>
        <w:t xml:space="preserve">General Structure Analysis System, GASA). By </w:t>
      </w:r>
      <w:r w:rsidRPr="00DD3670">
        <w:t>in situ</w:t>
      </w:r>
      <w:r w:rsidRPr="00DD3670">
        <w:rPr>
          <w:rFonts w:eastAsia="DengXian"/>
          <w:bCs/>
        </w:rPr>
        <w:t xml:space="preserve"> X-ray diffraction test, a custom-made Swagelok battery with an X-ray transparent aluminum window was used to describe the cell mechanism. To analyze the</w:t>
      </w:r>
      <w:r w:rsidRPr="00DD3670">
        <w:t xml:space="preserve"> </w:t>
      </w:r>
      <w:r w:rsidRPr="00DD3670">
        <w:rPr>
          <w:rFonts w:eastAsia="DengXian"/>
          <w:bCs/>
        </w:rPr>
        <w:t xml:space="preserve">morphology and microstructure of the samples, scanning electron microscopy (SEM; JEOL, JSM 6400) with a focused ion beam (FIB, FEI, SCIOS) were used, transmission electron microscopy (TEM; JEOL, 2100F) and X-ray photoelectron spectroscopy (XPS, </w:t>
      </w:r>
      <w:proofErr w:type="spellStart"/>
      <w:r w:rsidRPr="00DD3670">
        <w:rPr>
          <w:rFonts w:eastAsia="DengXian"/>
          <w:bCs/>
        </w:rPr>
        <w:t>Thermo</w:t>
      </w:r>
      <w:proofErr w:type="spellEnd"/>
      <w:r w:rsidRPr="00DD3670">
        <w:rPr>
          <w:rFonts w:eastAsia="DengXian"/>
          <w:bCs/>
        </w:rPr>
        <w:t xml:space="preserve"> Fisher ESCALAB 250Xi), TOF-SIMS (ION-TOF GmbH TOF SIMS) and X-ray absorption spectroscopy</w:t>
      </w:r>
      <w:r w:rsidRPr="00DD3670">
        <w:t xml:space="preserve"> (XAS) </w:t>
      </w:r>
      <w:r w:rsidRPr="00DD3670">
        <w:rPr>
          <w:rFonts w:eastAsia="DengXian"/>
          <w:bCs/>
        </w:rPr>
        <w:t>were performed on beamline BL01C1 in the NSRRC to characterize the elemental composition, elemental valence state and corresponding material structure at the surface and depth positions.</w:t>
      </w:r>
      <w:r w:rsidRPr="00DD3670">
        <w:t xml:space="preserve"> </w:t>
      </w:r>
      <w:r w:rsidRPr="00DD3670">
        <w:rPr>
          <w:rFonts w:eastAsia="DengXian"/>
          <w:bCs/>
        </w:rPr>
        <w:t>Laser ablation inductively coupled plasma-mass spectrometry (LA-ICP-MS)</w:t>
      </w:r>
      <w:r w:rsidRPr="00DD3670">
        <w:t xml:space="preserve"> </w:t>
      </w:r>
      <w:r w:rsidRPr="00DD3670">
        <w:rPr>
          <w:rFonts w:eastAsia="DengXian"/>
          <w:bCs/>
        </w:rPr>
        <w:t>was used to characterize the distributions of the corresponding elements.</w:t>
      </w:r>
      <w:r w:rsidR="004533BA" w:rsidRPr="00DD3670">
        <w:rPr>
          <w:rFonts w:hint="eastAsia"/>
        </w:rPr>
        <w:t xml:space="preserve"> S</w:t>
      </w:r>
      <w:r w:rsidR="004533BA" w:rsidRPr="00DD3670">
        <w:t>welling was monitored using an in-situ swelling analyzer (IEST-SWE2100, Initial Energy Science &amp; Technology Co., Ltd., IEST) with sub-micron resolution, under controlled conditions of 25 ± 1 °C in a thermostatic chamber to avoid thermal interference.</w:t>
      </w:r>
    </w:p>
    <w:p w14:paraId="5E77F354" w14:textId="77777777" w:rsidR="001B7748" w:rsidRPr="00DD3670" w:rsidRDefault="001B7748" w:rsidP="008E2A4A">
      <w:pPr>
        <w:spacing w:before="120" w:after="120" w:line="240" w:lineRule="auto"/>
        <w:rPr>
          <w:rFonts w:eastAsia="DengXian"/>
          <w:bCs/>
        </w:rPr>
      </w:pPr>
    </w:p>
    <w:p w14:paraId="26BC4464" w14:textId="78047DE4" w:rsidR="00377D5C" w:rsidRPr="00DD3670" w:rsidRDefault="008E2A4A" w:rsidP="008E2A4A">
      <w:pPr>
        <w:spacing w:before="120" w:after="120" w:line="240" w:lineRule="auto"/>
        <w:rPr>
          <w:b/>
        </w:rPr>
      </w:pPr>
      <w:r w:rsidRPr="00DD3670">
        <w:rPr>
          <w:b/>
        </w:rPr>
        <w:lastRenderedPageBreak/>
        <w:t>S1</w:t>
      </w:r>
      <w:r w:rsidR="001B7748" w:rsidRPr="00DD3670">
        <w:rPr>
          <w:b/>
        </w:rPr>
        <w:t>.2 Electrochemical Tests</w:t>
      </w:r>
    </w:p>
    <w:p w14:paraId="43953853" w14:textId="631A989B" w:rsidR="001B7748" w:rsidRPr="00DD3670" w:rsidRDefault="001B7748" w:rsidP="008E2A4A">
      <w:pPr>
        <w:spacing w:before="120" w:after="120" w:line="240" w:lineRule="auto"/>
      </w:pPr>
      <w:r w:rsidRPr="00DD3670">
        <w:t>To investigate the impact of activation strategies on battery performance,</w:t>
      </w:r>
      <w:r w:rsidR="004B3814" w:rsidRPr="00DD3670">
        <w:rPr>
          <w:rFonts w:hint="eastAsia"/>
        </w:rPr>
        <w:t xml:space="preserve"> </w:t>
      </w:r>
      <w:r w:rsidR="004B3814" w:rsidRPr="00DD3670">
        <w:t>LiFePO</w:t>
      </w:r>
      <w:r w:rsidR="004B3814" w:rsidRPr="00DD3670">
        <w:rPr>
          <w:vertAlign w:val="subscript"/>
        </w:rPr>
        <w:t>4</w:t>
      </w:r>
      <w:r w:rsidR="004B3814" w:rsidRPr="00DD3670">
        <w:t>/graphite pouch-type lithium-ion batteries with a nominal capacity of 2 Ah were employed in this study. Each cell consisted of a double-sided graphite anode and a double-sided LiFePO</w:t>
      </w:r>
      <w:r w:rsidR="004B3814" w:rsidRPr="00DD3670">
        <w:rPr>
          <w:vertAlign w:val="subscript"/>
        </w:rPr>
        <w:t>4</w:t>
      </w:r>
      <w:r w:rsidR="004B3814" w:rsidRPr="00DD3670">
        <w:t xml:space="preserve"> cathode assembled using a winding process. The electrode dimensions were 93.0 × 646.0 mm for the anode and 87.0 × 520.0 mm for the cathode, with corresponding thicknesses of 0.0631 mm and 0.07926 mm, respectively. The N/P ratio of the cells was approximately 1.1. </w:t>
      </w:r>
      <w:r w:rsidRPr="00DD3670">
        <w:t>For one cell, continuous activation (CA) was applied by charging at a constant current rate of 0.1</w:t>
      </w:r>
      <w:r w:rsidRPr="00DD3670">
        <w:rPr>
          <w:rFonts w:hint="eastAsia"/>
        </w:rPr>
        <w:t xml:space="preserve"> </w:t>
      </w:r>
      <w:r w:rsidRPr="00DD3670">
        <w:t>C during the initial cycle. For the other cell, an intermittent activation (IA) strategy was employed, in which a four-step activation process was designed: different current rates were applied in different voltage intervals, following the principle that higher voltages correspond to lower current rates. Specifically, charging was conducted at 0.4</w:t>
      </w:r>
      <w:r w:rsidRPr="00DD3670">
        <w:rPr>
          <w:rFonts w:hint="eastAsia"/>
        </w:rPr>
        <w:t xml:space="preserve"> </w:t>
      </w:r>
      <w:r w:rsidRPr="00DD3670">
        <w:t>C between the open-circuit voltage and 3.32 V, 0.3</w:t>
      </w:r>
      <w:r w:rsidRPr="00DD3670">
        <w:rPr>
          <w:rFonts w:hint="eastAsia"/>
        </w:rPr>
        <w:t xml:space="preserve"> </w:t>
      </w:r>
      <w:r w:rsidRPr="00DD3670">
        <w:t>C between 3.32 V and 3.38 V, 0.2</w:t>
      </w:r>
      <w:r w:rsidRPr="00DD3670">
        <w:rPr>
          <w:rFonts w:hint="eastAsia"/>
        </w:rPr>
        <w:t xml:space="preserve"> </w:t>
      </w:r>
      <w:r w:rsidRPr="00DD3670">
        <w:t>C between 3.38 V and 3.43 V, and 0.1</w:t>
      </w:r>
      <w:r w:rsidRPr="00DD3670">
        <w:rPr>
          <w:rFonts w:hint="eastAsia"/>
        </w:rPr>
        <w:t xml:space="preserve"> </w:t>
      </w:r>
      <w:r w:rsidRPr="00DD3670">
        <w:t>C between 3.43 V and 3.65 V, followed by discharging at 0.1</w:t>
      </w:r>
      <w:r w:rsidRPr="00DD3670">
        <w:rPr>
          <w:rFonts w:hint="eastAsia"/>
        </w:rPr>
        <w:t xml:space="preserve"> </w:t>
      </w:r>
      <w:r w:rsidRPr="00DD3670">
        <w:t>C.</w:t>
      </w:r>
    </w:p>
    <w:p w14:paraId="4E9E9088" w14:textId="16AA05FF" w:rsidR="001B7748" w:rsidRPr="00DD3670" w:rsidRDefault="008E2A4A" w:rsidP="008E2A4A">
      <w:pPr>
        <w:spacing w:before="120" w:after="120" w:line="240" w:lineRule="auto"/>
        <w:rPr>
          <w:b/>
        </w:rPr>
      </w:pPr>
      <w:r w:rsidRPr="00DD3670">
        <w:rPr>
          <w:b/>
        </w:rPr>
        <w:t>S1</w:t>
      </w:r>
      <w:r w:rsidR="001B7748" w:rsidRPr="00DD3670">
        <w:rPr>
          <w:b/>
        </w:rPr>
        <w:t xml:space="preserve">.3 DFT </w:t>
      </w:r>
      <w:r w:rsidRPr="00DD3670">
        <w:rPr>
          <w:b/>
        </w:rPr>
        <w:t>C</w:t>
      </w:r>
      <w:r w:rsidR="001B7748" w:rsidRPr="00DD3670">
        <w:rPr>
          <w:b/>
        </w:rPr>
        <w:t>alculations</w:t>
      </w:r>
    </w:p>
    <w:p w14:paraId="341B9D14" w14:textId="0E1C1E63" w:rsidR="001B7748" w:rsidRPr="00DD3670" w:rsidRDefault="001B7748" w:rsidP="008E2A4A">
      <w:pPr>
        <w:autoSpaceDE w:val="0"/>
        <w:autoSpaceDN w:val="0"/>
        <w:adjustRightInd w:val="0"/>
        <w:snapToGrid w:val="0"/>
        <w:spacing w:before="120" w:after="120" w:line="240" w:lineRule="auto"/>
      </w:pPr>
      <w:r w:rsidRPr="00DD3670">
        <w:t xml:space="preserve">First-principles density functional theory (DFT) calculations were performed via projector augmented-wave (PAW) and the </w:t>
      </w:r>
      <w:proofErr w:type="spellStart"/>
      <w:r w:rsidRPr="00DD3670">
        <w:t>Perdew</w:t>
      </w:r>
      <w:proofErr w:type="spellEnd"/>
      <w:r w:rsidRPr="00DD3670">
        <w:t>-Burke-</w:t>
      </w:r>
      <w:proofErr w:type="spellStart"/>
      <w:r w:rsidRPr="00DD3670">
        <w:t>Ernzerhof</w:t>
      </w:r>
      <w:proofErr w:type="spellEnd"/>
      <w:r w:rsidRPr="00DD3670">
        <w:t xml:space="preserve"> (PBE) functions for refinement of the atomic configurations and energy optimization. The energy cutoff point for each calculation was 600 eV, with a difference of no more than 10–6 eV. The system was considered convergent when the atomic force for structural optimization was smaller than 0.015 eV/Å. The data were processed via the spin-polarization ordering method. </w:t>
      </w:r>
      <w:r w:rsidR="004533BA" w:rsidRPr="00DD3670">
        <w:rPr>
          <w:rFonts w:hint="eastAsia"/>
        </w:rPr>
        <w:t xml:space="preserve">The authors extend their gratitude to </w:t>
      </w:r>
      <w:proofErr w:type="spellStart"/>
      <w:r w:rsidR="004533BA" w:rsidRPr="00DD3670">
        <w:rPr>
          <w:rFonts w:hint="eastAsia"/>
        </w:rPr>
        <w:t>Xingpeng</w:t>
      </w:r>
      <w:proofErr w:type="spellEnd"/>
      <w:r w:rsidR="004533BA" w:rsidRPr="00DD3670">
        <w:rPr>
          <w:rFonts w:hint="eastAsia"/>
        </w:rPr>
        <w:t xml:space="preserve"> </w:t>
      </w:r>
      <w:proofErr w:type="spellStart"/>
      <w:r w:rsidR="004533BA" w:rsidRPr="00DD3670">
        <w:rPr>
          <w:rFonts w:hint="eastAsia"/>
        </w:rPr>
        <w:t>Shuai</w:t>
      </w:r>
      <w:proofErr w:type="spellEnd"/>
      <w:r w:rsidR="004533BA" w:rsidRPr="00DD3670">
        <w:rPr>
          <w:rFonts w:hint="eastAsia"/>
        </w:rPr>
        <w:t xml:space="preserve"> from Scientific Compass (www.shiyanjia.com) for providing invaluable </w:t>
      </w:r>
      <w:r w:rsidR="00D87357" w:rsidRPr="00DD3670">
        <w:rPr>
          <w:rFonts w:hint="eastAsia"/>
        </w:rPr>
        <w:t>assistance with</w:t>
      </w:r>
      <w:r w:rsidR="00D87357" w:rsidRPr="00DD3670">
        <w:t xml:space="preserve"> DFT calculations</w:t>
      </w:r>
      <w:r w:rsidR="004533BA" w:rsidRPr="00DD3670">
        <w:rPr>
          <w:rFonts w:hint="eastAsia"/>
        </w:rPr>
        <w:t>。</w:t>
      </w:r>
    </w:p>
    <w:p w14:paraId="2265E2C8" w14:textId="4AA0D870" w:rsidR="001B7748" w:rsidRPr="00DD3670" w:rsidRDefault="008E2A4A" w:rsidP="008E2A4A">
      <w:pPr>
        <w:spacing w:before="120" w:after="120" w:line="240" w:lineRule="auto"/>
        <w:rPr>
          <w:b/>
        </w:rPr>
      </w:pPr>
      <w:r w:rsidRPr="00DD3670">
        <w:rPr>
          <w:b/>
        </w:rPr>
        <w:t>S1</w:t>
      </w:r>
      <w:r w:rsidR="001B7748" w:rsidRPr="00DD3670">
        <w:rPr>
          <w:b/>
        </w:rPr>
        <w:t xml:space="preserve">.4 COMSOL </w:t>
      </w:r>
      <w:r w:rsidRPr="00DD3670">
        <w:rPr>
          <w:b/>
        </w:rPr>
        <w:t>S</w:t>
      </w:r>
      <w:r w:rsidR="001B7748" w:rsidRPr="00DD3670">
        <w:rPr>
          <w:b/>
        </w:rPr>
        <w:t>imulation</w:t>
      </w:r>
    </w:p>
    <w:p w14:paraId="39B9D651" w14:textId="77777777" w:rsidR="001B7748" w:rsidRPr="00DD3670" w:rsidRDefault="001B7748" w:rsidP="008E2A4A">
      <w:pPr>
        <w:spacing w:before="120" w:after="120" w:line="240" w:lineRule="auto"/>
      </w:pPr>
      <w:r w:rsidRPr="00DD3670">
        <w:t>In the application of COMSOL software, for the simulation analysis, the Butler–</w:t>
      </w:r>
      <w:proofErr w:type="spellStart"/>
      <w:r w:rsidRPr="00DD3670">
        <w:t>Volmer</w:t>
      </w:r>
      <w:proofErr w:type="spellEnd"/>
      <w:r w:rsidRPr="00DD3670">
        <w:t xml:space="preserve"> equation was used to perform the calculations, through which the electric-field distribution within the structure can be obtained. As the </w:t>
      </w:r>
      <w:proofErr w:type="spellStart"/>
      <w:r w:rsidRPr="00DD3670">
        <w:t>overpotential</w:t>
      </w:r>
      <w:proofErr w:type="spellEnd"/>
      <w:r w:rsidRPr="00DD3670">
        <w:t xml:space="preserve"> increases, the local current density exhibits an exponential rise. Therefore, increasing the </w:t>
      </w:r>
      <w:proofErr w:type="spellStart"/>
      <w:r w:rsidRPr="00DD3670">
        <w:t>overpotential</w:t>
      </w:r>
      <w:proofErr w:type="spellEnd"/>
      <w:r w:rsidRPr="00DD3670">
        <w:t xml:space="preserve"> by a given amount can cause the local current density to increase by orders of magnitude, thereby significantly accelerating the rate of the electrochemical deposition reaction. When calculating the concentration distribution within the structure, the Nernst–Planck equation was used as the governing equation, which is given by:</w:t>
      </w:r>
    </w:p>
    <w:p w14:paraId="295FBC17" w14:textId="77777777" w:rsidR="001B7748" w:rsidRPr="00DD3670" w:rsidRDefault="00DD3670" w:rsidP="008E2A4A">
      <w:pPr>
        <w:spacing w:before="120" w:after="120" w:line="240" w:lineRule="auto"/>
        <w:jc w:val="center"/>
        <w:rPr>
          <w:szCs w:val="32"/>
        </w:rPr>
      </w:pPr>
      <m:oMathPara>
        <m:oMath>
          <m:sSub>
            <m:sSubPr>
              <m:ctrlPr>
                <w:rPr>
                  <w:rFonts w:ascii="Cambria Math" w:hAnsi="Cambria Math"/>
                  <w:szCs w:val="32"/>
                </w:rPr>
              </m:ctrlPr>
            </m:sSubPr>
            <m:e>
              <m:r>
                <w:rPr>
                  <w:rFonts w:ascii="Cambria Math" w:hAnsi="Cambria Math"/>
                  <w:szCs w:val="32"/>
                </w:rPr>
                <m:t>J</m:t>
              </m:r>
            </m:e>
            <m:sub>
              <m:r>
                <w:rPr>
                  <w:rFonts w:ascii="Cambria Math" w:hAnsi="Cambria Math"/>
                  <w:szCs w:val="32"/>
                </w:rPr>
                <m:t>i</m:t>
              </m:r>
            </m:sub>
          </m:sSub>
          <m:r>
            <m:rPr>
              <m:nor/>
            </m:rPr>
            <w:rPr>
              <w:szCs w:val="32"/>
            </w:rPr>
            <m:t>=</m:t>
          </m:r>
          <m:r>
            <w:rPr>
              <w:rFonts w:ascii="Cambria Math" w:hAnsi="Cambria Math"/>
              <w:szCs w:val="32"/>
            </w:rPr>
            <m:t>v</m:t>
          </m:r>
          <m:sSub>
            <m:sSubPr>
              <m:ctrlPr>
                <w:rPr>
                  <w:rFonts w:ascii="Cambria Math" w:hAnsi="Cambria Math"/>
                  <w:szCs w:val="32"/>
                </w:rPr>
              </m:ctrlPr>
            </m:sSubPr>
            <m:e>
              <m:r>
                <w:rPr>
                  <w:rFonts w:ascii="Cambria Math" w:hAnsi="Cambria Math"/>
                  <w:szCs w:val="32"/>
                </w:rPr>
                <m:t>c</m:t>
              </m:r>
            </m:e>
            <m:sub>
              <m:r>
                <w:rPr>
                  <w:rFonts w:ascii="Cambria Math" w:hAnsi="Cambria Math"/>
                  <w:szCs w:val="32"/>
                </w:rPr>
                <m:t>i</m:t>
              </m:r>
            </m:sub>
          </m:sSub>
          <m:r>
            <w:rPr>
              <w:rFonts w:ascii="Cambria Math" w:hAnsi="Cambria Math"/>
              <w:szCs w:val="32"/>
            </w:rPr>
            <m:t>-</m:t>
          </m:r>
          <m:sSub>
            <m:sSubPr>
              <m:ctrlPr>
                <w:rPr>
                  <w:rFonts w:ascii="Cambria Math" w:hAnsi="Cambria Math"/>
                  <w:szCs w:val="32"/>
                </w:rPr>
              </m:ctrlPr>
            </m:sSubPr>
            <m:e>
              <m:r>
                <w:rPr>
                  <w:rFonts w:ascii="Cambria Math" w:hAnsi="Cambria Math"/>
                  <w:szCs w:val="32"/>
                </w:rPr>
                <m:t>D</m:t>
              </m:r>
            </m:e>
            <m:sub>
              <m:r>
                <w:rPr>
                  <w:rFonts w:ascii="Cambria Math" w:hAnsi="Cambria Math"/>
                  <w:szCs w:val="32"/>
                </w:rPr>
                <m:t>i</m:t>
              </m:r>
            </m:sub>
          </m:sSub>
          <m:r>
            <w:rPr>
              <w:rFonts w:ascii="Cambria Math" w:hAnsi="Cambria Math"/>
              <w:szCs w:val="32"/>
            </w:rPr>
            <m:t>∇</m:t>
          </m:r>
          <m:sSub>
            <m:sSubPr>
              <m:ctrlPr>
                <w:rPr>
                  <w:rFonts w:ascii="Cambria Math" w:hAnsi="Cambria Math"/>
                  <w:szCs w:val="32"/>
                </w:rPr>
              </m:ctrlPr>
            </m:sSubPr>
            <m:e>
              <m:r>
                <w:rPr>
                  <w:rFonts w:ascii="Cambria Math" w:hAnsi="Cambria Math"/>
                  <w:szCs w:val="32"/>
                </w:rPr>
                <m:t>c</m:t>
              </m:r>
            </m:e>
            <m:sub>
              <m:r>
                <w:rPr>
                  <w:rFonts w:ascii="Cambria Math" w:hAnsi="Cambria Math"/>
                  <w:szCs w:val="32"/>
                </w:rPr>
                <m:t>i</m:t>
              </m:r>
            </m:sub>
          </m:sSub>
          <m:r>
            <w:rPr>
              <w:rFonts w:ascii="Cambria Math" w:hAnsi="Cambria Math"/>
              <w:szCs w:val="32"/>
            </w:rPr>
            <m:t>-</m:t>
          </m:r>
          <m:sSub>
            <m:sSubPr>
              <m:ctrlPr>
                <w:rPr>
                  <w:rFonts w:ascii="Cambria Math" w:hAnsi="Cambria Math"/>
                  <w:i/>
                  <w:szCs w:val="32"/>
                </w:rPr>
              </m:ctrlPr>
            </m:sSubPr>
            <m:e>
              <m:r>
                <w:rPr>
                  <w:rFonts w:ascii="Cambria Math" w:hAnsi="Cambria Math"/>
                  <w:szCs w:val="32"/>
                </w:rPr>
                <m:t>z</m:t>
              </m:r>
            </m:e>
            <m:sub>
              <m:r>
                <w:rPr>
                  <w:rFonts w:ascii="Cambria Math" w:hAnsi="Cambria Math"/>
                  <w:szCs w:val="32"/>
                </w:rPr>
                <m:t>i</m:t>
              </m:r>
            </m:sub>
          </m:sSub>
          <m:sSub>
            <m:sSubPr>
              <m:ctrlPr>
                <w:rPr>
                  <w:rFonts w:ascii="Cambria Math" w:hAnsi="Cambria Math"/>
                  <w:szCs w:val="32"/>
                </w:rPr>
              </m:ctrlPr>
            </m:sSubPr>
            <m:e>
              <m:r>
                <w:rPr>
                  <w:rFonts w:ascii="Cambria Math" w:hAnsi="Cambria Math"/>
                  <w:szCs w:val="32"/>
                </w:rPr>
                <m:t>c</m:t>
              </m:r>
            </m:e>
            <m:sub>
              <m:r>
                <w:rPr>
                  <w:rFonts w:ascii="Cambria Math" w:hAnsi="Cambria Math"/>
                  <w:szCs w:val="32"/>
                </w:rPr>
                <m:t>i</m:t>
              </m:r>
            </m:sub>
          </m:sSub>
          <m:sSub>
            <m:sSubPr>
              <m:ctrlPr>
                <w:rPr>
                  <w:rFonts w:ascii="Cambria Math" w:hAnsi="Cambria Math"/>
                  <w:szCs w:val="32"/>
                </w:rPr>
              </m:ctrlPr>
            </m:sSubPr>
            <m:e>
              <m:r>
                <w:rPr>
                  <w:rFonts w:ascii="Cambria Math" w:hAnsi="Cambria Math"/>
                  <w:szCs w:val="32"/>
                </w:rPr>
                <m:t>u</m:t>
              </m:r>
            </m:e>
            <m:sub>
              <m:r>
                <w:rPr>
                  <w:rFonts w:ascii="Cambria Math" w:hAnsi="Cambria Math"/>
                  <w:szCs w:val="32"/>
                </w:rPr>
                <m:t>i</m:t>
              </m:r>
            </m:sub>
          </m:sSub>
          <m:r>
            <w:rPr>
              <w:rFonts w:ascii="Cambria Math" w:hAnsi="Cambria Math"/>
              <w:szCs w:val="32"/>
            </w:rPr>
            <m:t>E</m:t>
          </m:r>
        </m:oMath>
      </m:oMathPara>
    </w:p>
    <w:p w14:paraId="58BF8FF4" w14:textId="77777777" w:rsidR="001B7748" w:rsidRPr="00DD3670" w:rsidRDefault="001B7748" w:rsidP="008E2A4A">
      <w:pPr>
        <w:spacing w:before="120" w:after="120" w:line="240" w:lineRule="auto"/>
      </w:pPr>
      <w:r w:rsidRPr="00DD3670">
        <w:t xml:space="preserve">Here, </w:t>
      </w:r>
      <w:r w:rsidRPr="00DD3670">
        <w:rPr>
          <w:szCs w:val="32"/>
        </w:rPr>
        <w:t>J</w:t>
      </w:r>
      <w:r w:rsidRPr="00DD3670">
        <w:rPr>
          <w:szCs w:val="32"/>
          <w:vertAlign w:val="subscript"/>
        </w:rPr>
        <w:t>i</w:t>
      </w:r>
      <w:r w:rsidRPr="00DD3670">
        <w:t xml:space="preserve"> represents the total flux of the </w:t>
      </w:r>
      <w:proofErr w:type="spellStart"/>
      <w:r w:rsidRPr="00DD3670">
        <w:t>i</w:t>
      </w:r>
      <w:proofErr w:type="spellEnd"/>
      <w:r w:rsidRPr="00DD3670">
        <w:t xml:space="preserve"> ionic species; v is the velocity of the liquid at the electrode surface; ci is the concentration of the </w:t>
      </w:r>
      <w:proofErr w:type="spellStart"/>
      <w:r w:rsidRPr="00DD3670">
        <w:t>i</w:t>
      </w:r>
      <w:proofErr w:type="spellEnd"/>
      <w:r w:rsidRPr="00DD3670">
        <w:t xml:space="preserve"> ion; </w:t>
      </w:r>
      <w:r w:rsidRPr="00DD3670">
        <w:rPr>
          <w:szCs w:val="32"/>
        </w:rPr>
        <w:t>D</w:t>
      </w:r>
      <w:r w:rsidRPr="00DD3670">
        <w:rPr>
          <w:szCs w:val="32"/>
          <w:vertAlign w:val="subscript"/>
        </w:rPr>
        <w:t>i</w:t>
      </w:r>
      <w:r w:rsidRPr="00DD3670">
        <w:t xml:space="preserve"> is the diffusion coefficient of the </w:t>
      </w:r>
      <w:proofErr w:type="spellStart"/>
      <w:r w:rsidRPr="00DD3670">
        <w:t>i</w:t>
      </w:r>
      <w:proofErr w:type="spellEnd"/>
      <w:r w:rsidRPr="00DD3670">
        <w:t xml:space="preserve"> ion; </w:t>
      </w:r>
      <w:r w:rsidRPr="00DD3670">
        <w:rPr>
          <w:position w:val="-12"/>
          <w:szCs w:val="32"/>
        </w:rPr>
        <w:object w:dxaOrig="367" w:dyaOrig="342" w14:anchorId="5AF6EE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17.65pt" o:ole="">
            <v:imagedata r:id="rId12" o:title=""/>
            <o:lock v:ext="edit" aspectratio="f"/>
          </v:shape>
          <o:OLEObject Type="Embed" ProgID="Equation.DSMT4" ShapeID="_x0000_i1025" DrawAspect="Content" ObjectID="_1822714807" r:id="rId13"/>
        </w:object>
      </w:r>
      <w:r w:rsidRPr="00DD3670">
        <w:rPr>
          <w:szCs w:val="32"/>
        </w:rPr>
        <w:t xml:space="preserve"> </w:t>
      </w:r>
      <w:r w:rsidRPr="00DD3670">
        <w:t xml:space="preserve">is the concentration gradient of the </w:t>
      </w:r>
      <w:proofErr w:type="spellStart"/>
      <w:r w:rsidRPr="00DD3670">
        <w:t>i</w:t>
      </w:r>
      <w:proofErr w:type="spellEnd"/>
      <w:r w:rsidRPr="00DD3670">
        <w:t xml:space="preserve"> ion; </w:t>
      </w:r>
      <w:proofErr w:type="spellStart"/>
      <w:r w:rsidRPr="00DD3670">
        <w:rPr>
          <w:szCs w:val="32"/>
        </w:rPr>
        <w:t>u</w:t>
      </w:r>
      <w:r w:rsidRPr="00DD3670">
        <w:rPr>
          <w:szCs w:val="32"/>
          <w:vertAlign w:val="subscript"/>
        </w:rPr>
        <w:t>i</w:t>
      </w:r>
      <w:proofErr w:type="spellEnd"/>
      <w:r w:rsidRPr="00DD3670">
        <w:t xml:space="preserve"> denotes the mobility of the </w:t>
      </w:r>
      <w:proofErr w:type="spellStart"/>
      <w:r w:rsidRPr="00DD3670">
        <w:t>i</w:t>
      </w:r>
      <w:proofErr w:type="spellEnd"/>
      <w:r w:rsidRPr="00DD3670">
        <w:t xml:space="preserve"> ion; E is the electric-field strength; and </w:t>
      </w:r>
      <w:proofErr w:type="spellStart"/>
      <w:r w:rsidRPr="00DD3670">
        <w:t>zi</w:t>
      </w:r>
      <w:proofErr w:type="spellEnd"/>
      <w:r w:rsidRPr="00DD3670">
        <w:t xml:space="preserve"> is the charge number of the </w:t>
      </w:r>
      <w:proofErr w:type="spellStart"/>
      <w:r w:rsidRPr="00DD3670">
        <w:t>i</w:t>
      </w:r>
      <w:proofErr w:type="spellEnd"/>
      <w:r w:rsidRPr="00DD3670">
        <w:t xml:space="preserve"> ion. For </w:t>
      </w:r>
      <w:r w:rsidRPr="00DD3670">
        <w:lastRenderedPageBreak/>
        <w:t>cations and anions, the migration flux term carries a positive or negative sign, respectively, reflecting the influence of their opposite charges.</w:t>
      </w:r>
    </w:p>
    <w:p w14:paraId="1CAC7629" w14:textId="7F29EADF" w:rsidR="001B7748" w:rsidRPr="00DD3670" w:rsidRDefault="001B7748" w:rsidP="008E2A4A">
      <w:pPr>
        <w:spacing w:before="120" w:after="120" w:line="240" w:lineRule="auto"/>
      </w:pPr>
      <w:r w:rsidRPr="00DD3670">
        <w:t xml:space="preserve">The governing equation and boundary conditions of the electric potential field </w:t>
      </w:r>
      <w:r w:rsidRPr="00DD3670">
        <w:rPr>
          <w:rFonts w:hint="eastAsia"/>
        </w:rPr>
        <w:t xml:space="preserve">: </w:t>
      </w:r>
      <w:r w:rsidRPr="00DD3670">
        <w:t>−</w:t>
      </w:r>
      <w:r w:rsidRPr="00DD3670">
        <w:rPr>
          <w:rFonts w:ascii="Cambria Math" w:hAnsi="Cambria Math" w:cs="Cambria Math"/>
        </w:rPr>
        <w:t>∇</w:t>
      </w:r>
      <w:r w:rsidRPr="00DD3670">
        <w:t>(</w:t>
      </w:r>
      <w:proofErr w:type="spellStart"/>
      <w:r w:rsidRPr="00DD3670">
        <w:t>σs,eff</w:t>
      </w:r>
      <w:r w:rsidRPr="00DD3670">
        <w:rPr>
          <w:rFonts w:ascii="Cambria Math" w:hAnsi="Cambria Math" w:cs="Cambria Math"/>
        </w:rPr>
        <w:t>∇</w:t>
      </w:r>
      <w:r w:rsidRPr="00DD3670">
        <w:t>ϕs</w:t>
      </w:r>
      <w:proofErr w:type="spellEnd"/>
      <w:r w:rsidRPr="00DD3670">
        <w:t>) = j I</w:t>
      </w:r>
      <w:r w:rsidRPr="00DD3670">
        <w:rPr>
          <w:rFonts w:hint="eastAsia"/>
        </w:rPr>
        <w:t>,</w:t>
      </w:r>
      <w:r w:rsidR="00377D5C" w:rsidRPr="00DD3670">
        <w:rPr>
          <w:rFonts w:hint="eastAsia"/>
        </w:rPr>
        <w:t xml:space="preserve"> </w:t>
      </w:r>
      <w:r w:rsidRPr="00DD3670">
        <w:t xml:space="preserve">This condition ensures charge conservation at the reaction interface, all the current flowing from the solid conductive network into the interface must be completely carried away by the ionic current in the electrolyte. This is the core boundary condition for coupling electrode reactions and bulk phase transport. The concentration of lithium ions is jointly controlled by Fick diffusion and ion migration: </w:t>
      </w:r>
      <m:oMath>
        <m:f>
          <m:fPr>
            <m:ctrlPr>
              <w:rPr>
                <w:rFonts w:ascii="Cambria Math" w:hAnsi="Cambria Math"/>
                <w:i/>
                <w:sz w:val="21"/>
              </w:rPr>
            </m:ctrlPr>
          </m:fPr>
          <m:num>
            <m:d>
              <m:dPr>
                <m:ctrlPr>
                  <w:rPr>
                    <w:rFonts w:ascii="Cambria Math" w:hAnsi="Cambria Math"/>
                    <w:i/>
                    <w:sz w:val="21"/>
                  </w:rPr>
                </m:ctrlPr>
              </m:dPr>
              <m:e>
                <m:r>
                  <w:rPr>
                    <w:rFonts w:ascii="Cambria Math" w:hAnsi="Cambria Math"/>
                    <w:sz w:val="21"/>
                  </w:rPr>
                  <m:t>∂</m:t>
                </m:r>
                <m:sSub>
                  <m:sSubPr>
                    <m:ctrlPr>
                      <w:rPr>
                        <w:rFonts w:ascii="Cambria Math" w:hAnsi="Cambria Math"/>
                        <w:i/>
                        <w:sz w:val="21"/>
                      </w:rPr>
                    </m:ctrlPr>
                  </m:sSubPr>
                  <m:e>
                    <m:r>
                      <w:rPr>
                        <w:rFonts w:ascii="Cambria Math" w:hAnsi="Cambria Math"/>
                        <w:sz w:val="21"/>
                      </w:rPr>
                      <m:t>C</m:t>
                    </m:r>
                  </m:e>
                  <m:sub>
                    <m:sSup>
                      <m:sSupPr>
                        <m:ctrlPr>
                          <w:rPr>
                            <w:rFonts w:ascii="Cambria Math" w:hAnsi="Cambria Math"/>
                            <w:i/>
                            <w:sz w:val="21"/>
                          </w:rPr>
                        </m:ctrlPr>
                      </m:sSupPr>
                      <m:e>
                        <m:r>
                          <w:rPr>
                            <w:rFonts w:ascii="Cambria Math" w:hAnsi="Cambria Math"/>
                            <w:sz w:val="21"/>
                          </w:rPr>
                          <m:t>Li</m:t>
                        </m:r>
                      </m:e>
                      <m:sup>
                        <m:r>
                          <w:rPr>
                            <w:rFonts w:ascii="Cambria Math" w:hAnsi="Cambria Math"/>
                            <w:sz w:val="21"/>
                          </w:rPr>
                          <m:t>+</m:t>
                        </m:r>
                      </m:sup>
                    </m:sSup>
                  </m:sub>
                </m:sSub>
              </m:e>
            </m:d>
          </m:num>
          <m:den>
            <m:r>
              <w:rPr>
                <w:rFonts w:ascii="Cambria Math" w:hAnsi="Cambria Math"/>
                <w:sz w:val="21"/>
              </w:rPr>
              <m:t>∂t</m:t>
            </m:r>
          </m:den>
        </m:f>
        <m:r>
          <w:rPr>
            <w:rFonts w:ascii="Cambria Math" w:hAnsi="Cambria Math"/>
            <w:sz w:val="21"/>
          </w:rPr>
          <m:t>=-D</m:t>
        </m:r>
        <m:sSup>
          <m:sSupPr>
            <m:ctrlPr>
              <w:rPr>
                <w:rFonts w:ascii="Cambria Math" w:hAnsi="Cambria Math"/>
                <w:sz w:val="21"/>
              </w:rPr>
            </m:ctrlPr>
          </m:sSupPr>
          <m:e>
            <m:r>
              <m:rPr>
                <m:sty m:val="p"/>
              </m:rPr>
              <w:rPr>
                <w:rFonts w:ascii="Cambria Math" w:hAnsi="Cambria Math"/>
                <w:sz w:val="21"/>
              </w:rPr>
              <m:t>∇</m:t>
            </m:r>
          </m:e>
          <m:sup>
            <m:r>
              <w:rPr>
                <w:rFonts w:ascii="Cambria Math" w:hAnsi="Cambria Math"/>
                <w:sz w:val="21"/>
              </w:rPr>
              <m:t>2</m:t>
            </m:r>
          </m:sup>
        </m:sSup>
        <m:sSub>
          <m:sSubPr>
            <m:ctrlPr>
              <w:rPr>
                <w:rFonts w:ascii="Cambria Math" w:hAnsi="Cambria Math"/>
                <w:i/>
                <w:sz w:val="21"/>
              </w:rPr>
            </m:ctrlPr>
          </m:sSubPr>
          <m:e>
            <m:r>
              <w:rPr>
                <w:rFonts w:ascii="Cambria Math" w:hAnsi="Cambria Math"/>
                <w:sz w:val="21"/>
              </w:rPr>
              <m:t>C</m:t>
            </m:r>
          </m:e>
          <m:sub>
            <m:sSup>
              <m:sSupPr>
                <m:ctrlPr>
                  <w:rPr>
                    <w:rFonts w:ascii="Cambria Math" w:hAnsi="Cambria Math"/>
                    <w:i/>
                    <w:sz w:val="21"/>
                  </w:rPr>
                </m:ctrlPr>
              </m:sSupPr>
              <m:e>
                <m:r>
                  <w:rPr>
                    <w:rFonts w:ascii="Cambria Math" w:hAnsi="Cambria Math"/>
                    <w:sz w:val="21"/>
                  </w:rPr>
                  <m:t>Li</m:t>
                </m:r>
              </m:e>
              <m:sup>
                <m:r>
                  <w:rPr>
                    <w:rFonts w:ascii="Cambria Math" w:hAnsi="Cambria Math"/>
                    <w:sz w:val="21"/>
                  </w:rPr>
                  <m:t>+</m:t>
                </m:r>
              </m:sup>
            </m:sSup>
          </m:sub>
        </m:sSub>
      </m:oMath>
      <w:r w:rsidRPr="00DD3670">
        <w:t xml:space="preserve"> </w:t>
      </w:r>
      <w:r w:rsidRPr="00DD3670">
        <w:rPr>
          <w:sz w:val="21"/>
        </w:rPr>
        <w:t>Electrochemical reaction kinetics and SEI growth boundary conditions</w:t>
      </w:r>
      <w:r w:rsidRPr="00DD3670">
        <w:rPr>
          <w:rFonts w:hint="eastAsia"/>
          <w:sz w:val="21"/>
        </w:rPr>
        <w:t>, t</w:t>
      </w:r>
      <w:r w:rsidRPr="00DD3670">
        <w:rPr>
          <w:sz w:val="21"/>
        </w:rPr>
        <w:t>he local current density is determined by the Butler-</w:t>
      </w:r>
      <w:proofErr w:type="spellStart"/>
      <w:r w:rsidRPr="00DD3670">
        <w:rPr>
          <w:sz w:val="21"/>
        </w:rPr>
        <w:t>Volmer</w:t>
      </w:r>
      <w:proofErr w:type="spellEnd"/>
      <w:r w:rsidRPr="00DD3670">
        <w:rPr>
          <w:sz w:val="21"/>
        </w:rPr>
        <w:t xml:space="preserve"> equation, and the formula is as follows</w:t>
      </w:r>
      <w:r w:rsidRPr="00DD3670">
        <w:rPr>
          <w:rFonts w:hint="eastAsia"/>
          <w:sz w:val="21"/>
        </w:rPr>
        <w:t>:</w:t>
      </w:r>
      <m:oMath>
        <m:r>
          <m:rPr>
            <m:sty m:val="p"/>
          </m:rPr>
          <w:rPr>
            <w:rFonts w:ascii="Cambria Math" w:hAnsi="Cambria Math" w:cs="SimSun" w:hint="eastAsia"/>
            <w:sz w:val="21"/>
          </w:rPr>
          <w:br/>
        </m:r>
      </m:oMath>
      <m:oMathPara>
        <m:oMath>
          <m:sSub>
            <m:sSubPr>
              <m:ctrlPr>
                <w:rPr>
                  <w:rFonts w:ascii="Cambria Math" w:hAnsi="Cambria Math" w:cs="SimSun" w:hint="eastAsia"/>
                  <w:i/>
                  <w:sz w:val="21"/>
                </w:rPr>
              </m:ctrlPr>
            </m:sSubPr>
            <m:e>
              <m:r>
                <w:rPr>
                  <w:rFonts w:ascii="Cambria Math" w:hAnsi="Cambria Math" w:cs="SimSun" w:hint="eastAsia"/>
                  <w:sz w:val="21"/>
                </w:rPr>
                <m:t>i</m:t>
              </m:r>
            </m:e>
            <m:sub>
              <m:r>
                <w:rPr>
                  <w:rFonts w:ascii="Cambria Math" w:hAnsi="Cambria Math" w:cs="SimSun" w:hint="eastAsia"/>
                  <w:sz w:val="21"/>
                </w:rPr>
                <m:t>loc</m:t>
              </m:r>
            </m:sub>
          </m:sSub>
          <m:r>
            <w:rPr>
              <w:rFonts w:ascii="Cambria Math" w:hAnsi="Cambria Math" w:cs="SimSun" w:hint="eastAsia"/>
              <w:sz w:val="21"/>
            </w:rPr>
            <m:t>=</m:t>
          </m:r>
          <m:sSub>
            <m:sSubPr>
              <m:ctrlPr>
                <w:rPr>
                  <w:rFonts w:ascii="Cambria Math" w:hAnsi="Cambria Math" w:cs="SimSun" w:hint="eastAsia"/>
                  <w:i/>
                  <w:sz w:val="21"/>
                </w:rPr>
              </m:ctrlPr>
            </m:sSubPr>
            <m:e>
              <m:r>
                <w:rPr>
                  <w:rFonts w:ascii="Cambria Math" w:hAnsi="Cambria Math" w:cs="SimSun" w:hint="eastAsia"/>
                  <w:sz w:val="21"/>
                </w:rPr>
                <m:t>i</m:t>
              </m:r>
            </m:e>
            <m:sub>
              <m:r>
                <w:rPr>
                  <w:rFonts w:ascii="Cambria Math" w:hAnsi="Cambria Math" w:cs="SimSun" w:hint="eastAsia"/>
                  <w:sz w:val="21"/>
                </w:rPr>
                <m:t>0</m:t>
              </m:r>
            </m:sub>
          </m:sSub>
          <m:d>
            <m:dPr>
              <m:begChr m:val="["/>
              <m:endChr m:val="]"/>
              <m:ctrlPr>
                <w:rPr>
                  <w:rFonts w:ascii="Cambria Math" w:hAnsi="Cambria Math" w:cs="SimSun" w:hint="eastAsia"/>
                  <w:i/>
                  <w:sz w:val="21"/>
                </w:rPr>
              </m:ctrlPr>
            </m:dPr>
            <m:e>
              <m:func>
                <m:funcPr>
                  <m:ctrlPr>
                    <w:rPr>
                      <w:rFonts w:ascii="Cambria Math" w:hAnsi="Cambria Math" w:cs="SimSun" w:hint="eastAsia"/>
                      <w:sz w:val="21"/>
                    </w:rPr>
                  </m:ctrlPr>
                </m:funcPr>
                <m:fName>
                  <m:r>
                    <m:rPr>
                      <m:sty m:val="p"/>
                    </m:rPr>
                    <w:rPr>
                      <w:rFonts w:ascii="Cambria Math" w:hAnsi="Cambria Math" w:cs="SimSun" w:hint="eastAsia"/>
                      <w:sz w:val="21"/>
                    </w:rPr>
                    <m:t>exp</m:t>
                  </m:r>
                  <m:ctrlPr>
                    <w:rPr>
                      <w:rFonts w:ascii="Cambria Math" w:hAnsi="Cambria Math" w:cs="SimSun" w:hint="eastAsia"/>
                      <w:i/>
                      <w:sz w:val="21"/>
                    </w:rPr>
                  </m:ctrlPr>
                </m:fName>
                <m:e>
                  <m:d>
                    <m:dPr>
                      <m:ctrlPr>
                        <w:rPr>
                          <w:rFonts w:ascii="Cambria Math" w:hAnsi="Cambria Math" w:cs="SimSun" w:hint="eastAsia"/>
                          <w:i/>
                          <w:sz w:val="21"/>
                        </w:rPr>
                      </m:ctrlPr>
                    </m:dPr>
                    <m:e>
                      <m:f>
                        <m:fPr>
                          <m:ctrlPr>
                            <w:rPr>
                              <w:rFonts w:ascii="Cambria Math" w:hAnsi="Cambria Math" w:cs="SimSun" w:hint="eastAsia"/>
                              <w:i/>
                              <w:sz w:val="21"/>
                            </w:rPr>
                          </m:ctrlPr>
                        </m:fPr>
                        <m:num>
                          <m:sSubSup>
                            <m:sSubSupPr>
                              <m:ctrlPr>
                                <w:rPr>
                                  <w:rFonts w:ascii="Cambria Math" w:hAnsi="Cambria Math" w:cs="SimSun" w:hint="eastAsia"/>
                                  <w:i/>
                                  <w:sz w:val="21"/>
                                </w:rPr>
                              </m:ctrlPr>
                            </m:sSubSupPr>
                            <m:e>
                              <m:r>
                                <w:rPr>
                                  <w:rFonts w:ascii="Cambria Math" w:hAnsi="Cambria Math" w:cs="SimSun" w:hint="eastAsia"/>
                                  <w:sz w:val="21"/>
                                </w:rPr>
                                <m:t>α</m:t>
                              </m:r>
                            </m:e>
                            <m:sub>
                              <m:r>
                                <w:rPr>
                                  <w:rFonts w:ascii="Cambria Math" w:hAnsi="Cambria Math" w:cs="SimSun" w:hint="eastAsia"/>
                                  <w:sz w:val="21"/>
                                </w:rPr>
                                <m:t>a</m:t>
                              </m:r>
                            </m:sub>
                            <m:sup>
                              <m:r>
                                <w:rPr>
                                  <w:rFonts w:ascii="Cambria Math" w:hAnsi="Cambria Math" w:cs="SimSun" w:hint="eastAsia"/>
                                  <w:sz w:val="21"/>
                                </w:rPr>
                                <m:t>F</m:t>
                              </m:r>
                            </m:sup>
                          </m:sSubSup>
                        </m:num>
                        <m:den>
                          <m:r>
                            <w:rPr>
                              <w:rFonts w:ascii="Cambria Math" w:hAnsi="Cambria Math" w:cs="SimSun" w:hint="eastAsia"/>
                              <w:sz w:val="21"/>
                            </w:rPr>
                            <m:t>RTη</m:t>
                          </m:r>
                        </m:den>
                      </m:f>
                    </m:e>
                  </m:d>
                </m:e>
              </m:func>
              <m:r>
                <w:rPr>
                  <w:rFonts w:ascii="Cambria Math" w:hAnsi="Cambria Math" w:cs="SimSun" w:hint="eastAsia"/>
                  <w:sz w:val="21"/>
                </w:rPr>
                <m:t>-</m:t>
              </m:r>
              <m:func>
                <m:funcPr>
                  <m:ctrlPr>
                    <w:rPr>
                      <w:rFonts w:ascii="Cambria Math" w:hAnsi="Cambria Math" w:cs="SimSun" w:hint="eastAsia"/>
                      <w:sz w:val="21"/>
                    </w:rPr>
                  </m:ctrlPr>
                </m:funcPr>
                <m:fName>
                  <m:r>
                    <m:rPr>
                      <m:sty m:val="p"/>
                    </m:rPr>
                    <w:rPr>
                      <w:rFonts w:ascii="Cambria Math" w:hAnsi="Cambria Math" w:cs="SimSun" w:hint="eastAsia"/>
                      <w:sz w:val="21"/>
                    </w:rPr>
                    <m:t>exp</m:t>
                  </m:r>
                  <m:ctrlPr>
                    <w:rPr>
                      <w:rFonts w:ascii="Cambria Math" w:hAnsi="Cambria Math" w:cs="SimSun" w:hint="eastAsia"/>
                      <w:i/>
                      <w:sz w:val="21"/>
                    </w:rPr>
                  </m:ctrlPr>
                </m:fName>
                <m:e>
                  <m:d>
                    <m:dPr>
                      <m:ctrlPr>
                        <w:rPr>
                          <w:rFonts w:ascii="Cambria Math" w:hAnsi="Cambria Math" w:cs="SimSun" w:hint="eastAsia"/>
                          <w:i/>
                          <w:sz w:val="21"/>
                        </w:rPr>
                      </m:ctrlPr>
                    </m:dPr>
                    <m:e>
                      <m:f>
                        <m:fPr>
                          <m:ctrlPr>
                            <w:rPr>
                              <w:rFonts w:ascii="Cambria Math" w:hAnsi="Cambria Math" w:cs="SimSun" w:hint="eastAsia"/>
                              <w:i/>
                              <w:sz w:val="21"/>
                            </w:rPr>
                          </m:ctrlPr>
                        </m:fPr>
                        <m:num>
                          <m:sSubSup>
                            <m:sSubSupPr>
                              <m:ctrlPr>
                                <w:rPr>
                                  <w:rFonts w:ascii="Cambria Math" w:hAnsi="Cambria Math" w:cs="SimSun" w:hint="eastAsia"/>
                                  <w:i/>
                                  <w:sz w:val="21"/>
                                </w:rPr>
                              </m:ctrlPr>
                            </m:sSubSupPr>
                            <m:e>
                              <m:r>
                                <w:rPr>
                                  <w:rFonts w:ascii="Cambria Math" w:hAnsi="Cambria Math" w:cs="SimSun" w:hint="eastAsia"/>
                                  <w:sz w:val="21"/>
                                </w:rPr>
                                <m:t>α</m:t>
                              </m:r>
                            </m:e>
                            <m:sub>
                              <m:r>
                                <w:rPr>
                                  <w:rFonts w:ascii="Cambria Math" w:hAnsi="Cambria Math" w:cs="SimSun" w:hint="eastAsia"/>
                                  <w:sz w:val="21"/>
                                </w:rPr>
                                <m:t>c</m:t>
                              </m:r>
                            </m:sub>
                            <m:sup>
                              <m:r>
                                <w:rPr>
                                  <w:rFonts w:ascii="Cambria Math" w:hAnsi="Cambria Math" w:cs="SimSun" w:hint="eastAsia"/>
                                  <w:sz w:val="21"/>
                                </w:rPr>
                                <m:t>F</m:t>
                              </m:r>
                            </m:sup>
                          </m:sSubSup>
                        </m:num>
                        <m:den>
                          <m:r>
                            <w:rPr>
                              <w:rFonts w:ascii="Cambria Math" w:hAnsi="Cambria Math" w:cs="SimSun" w:hint="eastAsia"/>
                              <w:sz w:val="21"/>
                            </w:rPr>
                            <m:t>RTη</m:t>
                          </m:r>
                        </m:den>
                      </m:f>
                    </m:e>
                  </m:d>
                </m:e>
              </m:func>
            </m:e>
          </m:d>
        </m:oMath>
      </m:oMathPara>
    </w:p>
    <w:p w14:paraId="1F3DCE46" w14:textId="77777777" w:rsidR="001B7748" w:rsidRPr="00DD3670" w:rsidRDefault="001B7748" w:rsidP="008E2A4A">
      <w:pPr>
        <w:spacing w:before="120" w:after="120" w:line="240" w:lineRule="auto"/>
      </w:pPr>
      <w:r w:rsidRPr="00DD3670">
        <w:t>The relative Permittivity of LFP is εᵣ=12, the lithium-ion diffusion coefficient is</w:t>
      </w:r>
      <w:r w:rsidRPr="00DD3670">
        <w:rPr>
          <w:rFonts w:hint="eastAsia"/>
        </w:rPr>
        <w:t xml:space="preserve"> </w:t>
      </w:r>
      <w:r w:rsidRPr="00DD3670">
        <w:t>10</w:t>
      </w:r>
      <w:r w:rsidRPr="00DD3670">
        <w:rPr>
          <w:rFonts w:ascii="Cambria Math" w:hAnsi="Cambria Math" w:cs="Cambria Math"/>
        </w:rPr>
        <w:t>⁻</w:t>
      </w:r>
      <w:r w:rsidRPr="00DD3670">
        <w:rPr>
          <w:rFonts w:hint="eastAsia"/>
          <w:vertAlign w:val="superscript"/>
        </w:rPr>
        <w:t>13</w:t>
      </w:r>
      <w:r w:rsidRPr="00DD3670">
        <w:t xml:space="preserve"> cm²/s.</w:t>
      </w:r>
      <w:r w:rsidRPr="00DD3670">
        <w:rPr>
          <w:rFonts w:hint="eastAsia"/>
        </w:rPr>
        <w:t xml:space="preserve"> </w:t>
      </w:r>
      <w:r w:rsidRPr="00DD3670">
        <w:t>Poisson's ratio is usually lower, approximately ν=0.25</w:t>
      </w:r>
      <w:r w:rsidRPr="00DD3670">
        <w:rPr>
          <w:rFonts w:hint="eastAsia"/>
        </w:rPr>
        <w:t>,</w:t>
      </w:r>
      <w:r w:rsidRPr="00DD3670">
        <w:t xml:space="preserve"> Elastic modulus (Young's modulus) is E </w:t>
      </w:r>
      <w:r w:rsidRPr="00DD3670">
        <w:rPr>
          <w:rFonts w:hint="eastAsia"/>
        </w:rPr>
        <w:t>=</w:t>
      </w:r>
      <w:r w:rsidRPr="00DD3670">
        <w:t xml:space="preserve"> 120 </w:t>
      </w:r>
      <w:proofErr w:type="spellStart"/>
      <w:r w:rsidRPr="00DD3670">
        <w:t>GPa</w:t>
      </w:r>
      <w:proofErr w:type="spellEnd"/>
      <w:r w:rsidRPr="00DD3670">
        <w:rPr>
          <w:rFonts w:hint="eastAsia"/>
        </w:rPr>
        <w:t>,</w:t>
      </w:r>
      <w:r w:rsidRPr="00DD3670">
        <w:t xml:space="preserve"> Electronic conductivity is</w:t>
      </w:r>
      <w:r w:rsidRPr="00DD3670">
        <w:rPr>
          <w:rFonts w:hint="eastAsia"/>
        </w:rPr>
        <w:t xml:space="preserve"> </w:t>
      </w:r>
      <w:r w:rsidRPr="00DD3670">
        <w:t>10</w:t>
      </w:r>
      <w:r w:rsidRPr="00DD3670">
        <w:rPr>
          <w:rFonts w:ascii="Cambria Math" w:hAnsi="Cambria Math" w:cs="Cambria Math"/>
        </w:rPr>
        <w:t>⁻</w:t>
      </w:r>
      <w:r w:rsidRPr="00DD3670">
        <w:rPr>
          <w:rFonts w:hint="eastAsia"/>
          <w:vertAlign w:val="superscript"/>
        </w:rPr>
        <w:t xml:space="preserve">8 </w:t>
      </w:r>
      <w:r w:rsidRPr="00DD3670">
        <w:rPr>
          <w:rFonts w:hint="eastAsia"/>
        </w:rPr>
        <w:t>with</w:t>
      </w:r>
      <w:r w:rsidRPr="00DD3670">
        <w:t xml:space="preserve"> </w:t>
      </w:r>
      <w:r w:rsidRPr="00DD3670">
        <w:rPr>
          <w:rFonts w:hint="eastAsia"/>
        </w:rPr>
        <w:t>e</w:t>
      </w:r>
      <w:r w:rsidRPr="00DD3670">
        <w:t xml:space="preserve">xchange </w:t>
      </w:r>
      <w:r w:rsidRPr="00DD3670">
        <w:rPr>
          <w:rFonts w:hint="eastAsia"/>
        </w:rPr>
        <w:t>c</w:t>
      </w:r>
      <w:r w:rsidRPr="00DD3670">
        <w:t xml:space="preserve">urrent </w:t>
      </w:r>
      <w:r w:rsidRPr="00DD3670">
        <w:rPr>
          <w:rFonts w:hint="eastAsia"/>
        </w:rPr>
        <w:t>d</w:t>
      </w:r>
      <w:r w:rsidRPr="00DD3670">
        <w:t xml:space="preserve">ensity </w:t>
      </w:r>
      <w:r w:rsidRPr="00DD3670">
        <w:rPr>
          <w:rFonts w:hint="eastAsia"/>
        </w:rPr>
        <w:t>of</w:t>
      </w:r>
      <w:r w:rsidRPr="00DD3670">
        <w:t xml:space="preserve"> 0.1 A/m², and the Phase boundary energy is 0.1-0.5 J/m²</w:t>
      </w:r>
      <w:r w:rsidRPr="00DD3670">
        <w:rPr>
          <w:rFonts w:hint="eastAsia"/>
        </w:rPr>
        <w:t xml:space="preserve">. </w:t>
      </w:r>
      <w:r w:rsidRPr="00DD3670">
        <w:t>When simulating the growth process of the SEI film</w:t>
      </w:r>
      <w:r w:rsidRPr="00DD3670">
        <w:rPr>
          <w:rFonts w:hint="eastAsia"/>
        </w:rPr>
        <w:t>,</w:t>
      </w:r>
      <w:r w:rsidRPr="00DD3670">
        <w:t xml:space="preserve"> </w:t>
      </w:r>
      <w:proofErr w:type="gramStart"/>
      <w:r w:rsidRPr="00DD3670">
        <w:t>The</w:t>
      </w:r>
      <w:proofErr w:type="gramEnd"/>
      <w:r w:rsidRPr="00DD3670">
        <w:t xml:space="preserve"> relative Permittivity o is εᵣ=</w:t>
      </w:r>
      <w:r w:rsidRPr="00DD3670">
        <w:rPr>
          <w:rFonts w:hint="eastAsia"/>
        </w:rPr>
        <w:t>5.</w:t>
      </w:r>
    </w:p>
    <w:p w14:paraId="42075B39" w14:textId="6029C203" w:rsidR="00D87357" w:rsidRPr="00DD3670" w:rsidRDefault="00CD3C71" w:rsidP="008E2A4A">
      <w:pPr>
        <w:spacing w:before="120" w:after="120" w:line="240" w:lineRule="auto"/>
        <w:rPr>
          <w:b/>
        </w:rPr>
      </w:pPr>
      <w:r w:rsidRPr="00DD3670">
        <w:rPr>
          <w:b/>
        </w:rPr>
        <w:t>S1</w:t>
      </w:r>
      <w:r w:rsidR="00377D5C" w:rsidRPr="00DD3670">
        <w:rPr>
          <w:b/>
        </w:rPr>
        <w:t>.</w:t>
      </w:r>
      <w:r w:rsidR="00377D5C" w:rsidRPr="00DD3670">
        <w:rPr>
          <w:rFonts w:hint="eastAsia"/>
          <w:b/>
        </w:rPr>
        <w:t>5</w:t>
      </w:r>
      <w:r w:rsidR="00377D5C" w:rsidRPr="00DD3670">
        <w:rPr>
          <w:b/>
        </w:rPr>
        <w:t xml:space="preserve"> </w:t>
      </w:r>
      <w:r w:rsidR="00377D5C" w:rsidRPr="00DD3670">
        <w:rPr>
          <w:rFonts w:hint="eastAsia"/>
          <w:b/>
        </w:rPr>
        <w:t>S</w:t>
      </w:r>
      <w:r w:rsidR="00377D5C" w:rsidRPr="00DD3670">
        <w:rPr>
          <w:b/>
        </w:rPr>
        <w:t>welling Tests</w:t>
      </w:r>
    </w:p>
    <w:p w14:paraId="60CE14F7" w14:textId="2F437BF0" w:rsidR="00377D5C" w:rsidRPr="00DD3670" w:rsidRDefault="00377D5C" w:rsidP="008E2A4A">
      <w:pPr>
        <w:spacing w:before="120" w:after="120" w:line="240" w:lineRule="auto"/>
      </w:pPr>
      <w:r w:rsidRPr="00DD3670">
        <w:rPr>
          <w:rFonts w:hint="eastAsia"/>
        </w:rPr>
        <w:t>S</w:t>
      </w:r>
      <w:r w:rsidRPr="00DD3670">
        <w:t>welling was monitored using an in-situ swelling analyzer (IEST-SWE2100, Initial Energy Science &amp; Technology Co., Ltd., IEST) with sub-micron resolution, under controlled conditions of 25 ± 1 °C in a thermostatic chamber to avoid thermal interference. The subsequent experiments were performed under constant-current activation (CA) and multi-step segmented indirect activation (IA) protocols, with each test repeated two times to ensure reproducibility. To enable comparison across formats, swelling was reported as the relative thickness change rate (</w:t>
      </w:r>
      <w:proofErr w:type="spellStart"/>
      <w:r w:rsidRPr="00DD3670">
        <w:t>Δt</w:t>
      </w:r>
      <w:proofErr w:type="spellEnd"/>
      <w:r w:rsidRPr="00DD3670">
        <w:t>/t</w:t>
      </w:r>
      <w:r w:rsidRPr="00DD3670">
        <w:rPr>
          <w:rFonts w:hint="eastAsia"/>
          <w:vertAlign w:val="subscript"/>
        </w:rPr>
        <w:t>0</w:t>
      </w:r>
      <w:r w:rsidRPr="00DD3670">
        <w:t xml:space="preserve"> × 100%), which provides a normalized descriptor independent of the absolute cell dimensions. The expansion behavior originates mainly from the graphite anode, which undergoes ~10% lattice swelling upon full </w:t>
      </w:r>
      <w:proofErr w:type="spellStart"/>
      <w:r w:rsidRPr="00DD3670">
        <w:t>lithiation</w:t>
      </w:r>
      <w:proofErr w:type="spellEnd"/>
      <w:r w:rsidRPr="00DD3670">
        <w:t>, while the LiFePO</w:t>
      </w:r>
      <w:r w:rsidRPr="00DD3670">
        <w:rPr>
          <w:vertAlign w:val="subscript"/>
        </w:rPr>
        <w:t>4</w:t>
      </w:r>
      <w:r w:rsidRPr="00DD3670">
        <w:t xml:space="preserve"> cathode contributes a smaller but non-negligible ~7% volume change during the LiFePO</w:t>
      </w:r>
      <w:r w:rsidRPr="00DD3670">
        <w:rPr>
          <w:vertAlign w:val="subscript"/>
        </w:rPr>
        <w:t>4</w:t>
      </w:r>
      <w:r w:rsidRPr="00DD3670">
        <w:t xml:space="preserve"> ↔ FePO</w:t>
      </w:r>
      <w:r w:rsidRPr="00DD3670">
        <w:rPr>
          <w:vertAlign w:val="subscript"/>
        </w:rPr>
        <w:t>4</w:t>
      </w:r>
      <w:r w:rsidRPr="00DD3670">
        <w:t xml:space="preserve"> two-phase transition.</w:t>
      </w:r>
    </w:p>
    <w:p w14:paraId="46B7F917" w14:textId="3929F9D9" w:rsidR="00CF1FD7" w:rsidRPr="00DD3670" w:rsidRDefault="00CD3C71" w:rsidP="008E2A4A">
      <w:pPr>
        <w:spacing w:before="120" w:after="120" w:line="240" w:lineRule="auto"/>
        <w:rPr>
          <w:b/>
        </w:rPr>
      </w:pPr>
      <w:r w:rsidRPr="00DD3670">
        <w:rPr>
          <w:b/>
        </w:rPr>
        <w:t>S1</w:t>
      </w:r>
      <w:r w:rsidR="00CF1FD7" w:rsidRPr="00DD3670">
        <w:rPr>
          <w:b/>
        </w:rPr>
        <w:t>.</w:t>
      </w:r>
      <w:r w:rsidR="00CF1FD7" w:rsidRPr="00DD3670">
        <w:rPr>
          <w:rFonts w:hint="eastAsia"/>
          <w:b/>
        </w:rPr>
        <w:t>6</w:t>
      </w:r>
      <w:r w:rsidR="00CF1FD7" w:rsidRPr="00DD3670">
        <w:rPr>
          <w:b/>
        </w:rPr>
        <w:t xml:space="preserve"> </w:t>
      </w:r>
      <w:r w:rsidR="00CF1FD7" w:rsidRPr="00DD3670">
        <w:rPr>
          <w:rFonts w:hint="eastAsia"/>
          <w:b/>
        </w:rPr>
        <w:t>I</w:t>
      </w:r>
      <w:r w:rsidR="00CF1FD7" w:rsidRPr="00DD3670">
        <w:rPr>
          <w:b/>
        </w:rPr>
        <w:t xml:space="preserve">n-situ </w:t>
      </w:r>
      <w:r w:rsidRPr="00DD3670">
        <w:rPr>
          <w:b/>
        </w:rPr>
        <w:t>S</w:t>
      </w:r>
      <w:r w:rsidR="00CF1FD7" w:rsidRPr="00DD3670">
        <w:rPr>
          <w:b/>
        </w:rPr>
        <w:t>tress Tests</w:t>
      </w:r>
    </w:p>
    <w:p w14:paraId="4D60519D" w14:textId="3BADBC91" w:rsidR="00CF1FD7" w:rsidRPr="00DD3670" w:rsidRDefault="00CF1FD7" w:rsidP="008E2A4A">
      <w:pPr>
        <w:spacing w:before="120" w:after="120" w:line="240" w:lineRule="auto"/>
      </w:pPr>
      <w:r w:rsidRPr="00DD3670">
        <w:t>The SPFT-2000 device consists of an optical microscope, a pressure measurement system, a displacement measurement system, and a force-displacement control system. Through high-precision displacement and pressure control, it can collect the pressure-displacement curve after the indenter (with a planar size of about 50</w:t>
      </w:r>
      <w:r w:rsidR="00CD3C71" w:rsidRPr="00DD3670">
        <w:t xml:space="preserve"> </w:t>
      </w:r>
      <w:proofErr w:type="spellStart"/>
      <w:r w:rsidRPr="00DD3670">
        <w:t>μm</w:t>
      </w:r>
      <w:proofErr w:type="spellEnd"/>
      <w:r w:rsidRPr="00DD3670">
        <w:t>, customizable) is loaded onto a single particle, and analyze the crushing force of the particle from the sudden change point of the curve. During the testing process, an optical microscope can be used to observe the morphology of the particles before and after pressing, as well as to test the size information of the particles, etc.</w:t>
      </w:r>
    </w:p>
    <w:p w14:paraId="64580773" w14:textId="3F1AC291" w:rsidR="001B7748" w:rsidRPr="00DD3670" w:rsidRDefault="00CD3C71" w:rsidP="00CD3C71">
      <w:pPr>
        <w:autoSpaceDE w:val="0"/>
        <w:autoSpaceDN w:val="0"/>
        <w:adjustRightInd w:val="0"/>
        <w:snapToGrid w:val="0"/>
        <w:spacing w:before="240" w:after="240" w:line="240" w:lineRule="auto"/>
        <w:ind w:firstLineChars="100" w:firstLine="280"/>
        <w:rPr>
          <w:rFonts w:eastAsia="DengXian"/>
          <w:b/>
        </w:rPr>
      </w:pPr>
      <w:r w:rsidRPr="00DD3670">
        <w:rPr>
          <w:rFonts w:eastAsia="DengXian"/>
          <w:b/>
          <w:sz w:val="28"/>
        </w:rPr>
        <w:lastRenderedPageBreak/>
        <w:t>S2 Supplementary Figures</w:t>
      </w:r>
    </w:p>
    <w:p w14:paraId="54329AE7" w14:textId="77777777" w:rsidR="00A06558" w:rsidRPr="00DD3670" w:rsidRDefault="00A06558" w:rsidP="008E2A4A">
      <w:pPr>
        <w:snapToGrid w:val="0"/>
        <w:spacing w:before="120" w:after="120" w:line="240" w:lineRule="auto"/>
        <w:rPr>
          <w:rFonts w:eastAsia="DengXian"/>
          <w:b/>
        </w:rPr>
      </w:pPr>
      <w:r w:rsidRPr="00DD3670">
        <w:rPr>
          <w:rFonts w:eastAsia="DengXian"/>
          <w:noProof/>
          <w:lang w:val="en-IN" w:eastAsia="en-IN"/>
        </w:rPr>
        <w:drawing>
          <wp:inline distT="0" distB="0" distL="0" distR="0" wp14:anchorId="0982C244" wp14:editId="24DEAB67">
            <wp:extent cx="4757895" cy="1790268"/>
            <wp:effectExtent l="0" t="0" r="5080" b="63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1460" cy="1791609"/>
                    </a:xfrm>
                    <a:prstGeom prst="rect">
                      <a:avLst/>
                    </a:prstGeom>
                    <a:noFill/>
                    <a:ln>
                      <a:noFill/>
                    </a:ln>
                    <a:effectLst/>
                    <a:extLst/>
                  </pic:spPr>
                </pic:pic>
              </a:graphicData>
            </a:graphic>
          </wp:inline>
        </w:drawing>
      </w:r>
      <w:r w:rsidRPr="00DD3670">
        <w:rPr>
          <w:rFonts w:eastAsia="DengXian"/>
          <w:b/>
        </w:rPr>
        <w:t xml:space="preserve"> </w:t>
      </w:r>
    </w:p>
    <w:p w14:paraId="25E6DFF0" w14:textId="09C5FC56" w:rsidR="00A70EE6" w:rsidRPr="00DD3670" w:rsidRDefault="00CD3C71" w:rsidP="008E2A4A">
      <w:pPr>
        <w:snapToGrid w:val="0"/>
        <w:spacing w:before="120" w:after="120" w:line="240" w:lineRule="auto"/>
      </w:pPr>
      <w:r w:rsidRPr="00DD3670">
        <w:rPr>
          <w:rFonts w:eastAsia="DengXian"/>
          <w:b/>
        </w:rPr>
        <w:t>Fig.</w:t>
      </w:r>
      <w:r w:rsidR="00A06558" w:rsidRPr="00DD3670">
        <w:rPr>
          <w:rFonts w:eastAsia="DengXian"/>
          <w:b/>
        </w:rPr>
        <w:t xml:space="preserve"> S1</w:t>
      </w:r>
      <w:r w:rsidR="00A06558" w:rsidRPr="00DD3670">
        <w:t xml:space="preserve"> The corresponding differential capacity curves of (</w:t>
      </w:r>
      <w:r w:rsidR="00A06558" w:rsidRPr="00DD3670">
        <w:rPr>
          <w:rFonts w:hint="eastAsia"/>
          <w:b/>
        </w:rPr>
        <w:t>a</w:t>
      </w:r>
      <w:r w:rsidR="00A06558" w:rsidRPr="00DD3670">
        <w:t xml:space="preserve">) </w:t>
      </w:r>
      <w:r w:rsidR="00A06558" w:rsidRPr="00DD3670">
        <w:rPr>
          <w:rFonts w:eastAsia="DengXian"/>
          <w:bCs/>
        </w:rPr>
        <w:t>LFP-C</w:t>
      </w:r>
      <w:r w:rsidR="00A06558" w:rsidRPr="00DD3670">
        <w:t xml:space="preserve"> and (</w:t>
      </w:r>
      <w:r w:rsidR="00A06558" w:rsidRPr="00DD3670">
        <w:rPr>
          <w:rFonts w:hint="eastAsia"/>
          <w:b/>
        </w:rPr>
        <w:t>b</w:t>
      </w:r>
      <w:r w:rsidR="00A06558" w:rsidRPr="00DD3670">
        <w:t xml:space="preserve">) </w:t>
      </w:r>
      <w:r w:rsidR="00A06558" w:rsidRPr="00DD3670">
        <w:rPr>
          <w:rFonts w:eastAsia="DengXian"/>
          <w:bCs/>
        </w:rPr>
        <w:t>LFP-</w:t>
      </w:r>
      <w:r w:rsidR="00A06558" w:rsidRPr="00DD3670">
        <w:rPr>
          <w:rFonts w:eastAsia="DengXian" w:hint="eastAsia"/>
          <w:bCs/>
        </w:rPr>
        <w:t>I</w:t>
      </w:r>
      <w:r w:rsidR="00A06558" w:rsidRPr="00DD3670">
        <w:t xml:space="preserve"> </w:t>
      </w:r>
    </w:p>
    <w:p w14:paraId="1E6B6A3F" w14:textId="77777777" w:rsidR="00A06558" w:rsidRPr="00DD3670" w:rsidRDefault="00A06558" w:rsidP="008E2A4A">
      <w:pPr>
        <w:snapToGrid w:val="0"/>
        <w:spacing w:before="120" w:after="120" w:line="240" w:lineRule="auto"/>
      </w:pPr>
    </w:p>
    <w:p w14:paraId="19D7AE28" w14:textId="67AB8F64" w:rsidR="00A70EE6" w:rsidRPr="00DD3670" w:rsidRDefault="0014354A" w:rsidP="008E2A4A">
      <w:pPr>
        <w:snapToGrid w:val="0"/>
        <w:spacing w:before="120" w:after="120" w:line="240" w:lineRule="auto"/>
        <w:jc w:val="center"/>
      </w:pPr>
      <w:r w:rsidRPr="00DD3670">
        <w:rPr>
          <w:noProof/>
          <w:lang w:val="en-IN" w:eastAsia="en-IN"/>
        </w:rPr>
        <w:drawing>
          <wp:inline distT="0" distB="0" distL="0" distR="0" wp14:anchorId="3BA8CC8A" wp14:editId="6C8D889A">
            <wp:extent cx="5274310" cy="4141921"/>
            <wp:effectExtent l="0" t="0" r="254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4141921"/>
                    </a:xfrm>
                    <a:prstGeom prst="rect">
                      <a:avLst/>
                    </a:prstGeom>
                    <a:noFill/>
                    <a:ln>
                      <a:noFill/>
                    </a:ln>
                    <a:effectLst/>
                    <a:extLst/>
                  </pic:spPr>
                </pic:pic>
              </a:graphicData>
            </a:graphic>
          </wp:inline>
        </w:drawing>
      </w:r>
    </w:p>
    <w:p w14:paraId="1506A819" w14:textId="2CF881FA" w:rsidR="00CD3DC9" w:rsidRPr="00DD3670" w:rsidRDefault="00CD3C71" w:rsidP="008E2A4A">
      <w:pPr>
        <w:snapToGrid w:val="0"/>
        <w:spacing w:before="120" w:after="120" w:line="240" w:lineRule="auto"/>
        <w:jc w:val="center"/>
        <w:rPr>
          <w:rFonts w:eastAsia="DengXian"/>
          <w:bCs/>
        </w:rPr>
      </w:pPr>
      <w:r w:rsidRPr="00DD3670">
        <w:rPr>
          <w:rFonts w:eastAsia="DengXian"/>
          <w:b/>
        </w:rPr>
        <w:t>Fig.</w:t>
      </w:r>
      <w:r w:rsidR="00A70EE6" w:rsidRPr="00DD3670">
        <w:rPr>
          <w:rFonts w:eastAsia="DengXian"/>
          <w:b/>
        </w:rPr>
        <w:t xml:space="preserve"> S</w:t>
      </w:r>
      <w:r w:rsidR="00A70EE6" w:rsidRPr="00DD3670">
        <w:rPr>
          <w:rFonts w:eastAsia="DengXian" w:hint="eastAsia"/>
          <w:b/>
        </w:rPr>
        <w:t>2</w:t>
      </w:r>
      <w:r w:rsidR="00A70EE6" w:rsidRPr="00DD3670">
        <w:t xml:space="preserve"> Selected contour plots in situ XRD of (</w:t>
      </w:r>
      <w:r w:rsidR="00A70EE6" w:rsidRPr="00DD3670">
        <w:rPr>
          <w:rFonts w:hint="eastAsia"/>
          <w:b/>
        </w:rPr>
        <w:t>a</w:t>
      </w:r>
      <w:r w:rsidR="00A70EE6" w:rsidRPr="00DD3670">
        <w:t xml:space="preserve">) </w:t>
      </w:r>
      <w:r w:rsidR="00A70EE6" w:rsidRPr="00DD3670">
        <w:rPr>
          <w:rFonts w:eastAsia="DengXian"/>
          <w:bCs/>
        </w:rPr>
        <w:t>LFP-C</w:t>
      </w:r>
      <w:r w:rsidR="00A70EE6" w:rsidRPr="00DD3670">
        <w:t xml:space="preserve"> and (</w:t>
      </w:r>
      <w:r w:rsidR="00A70EE6" w:rsidRPr="00DD3670">
        <w:rPr>
          <w:rFonts w:hint="eastAsia"/>
          <w:b/>
        </w:rPr>
        <w:t>b</w:t>
      </w:r>
      <w:r w:rsidR="00A70EE6" w:rsidRPr="00DD3670">
        <w:t xml:space="preserve">) </w:t>
      </w:r>
      <w:r w:rsidR="00A70EE6" w:rsidRPr="00DD3670">
        <w:rPr>
          <w:rFonts w:eastAsia="DengXian"/>
          <w:bCs/>
        </w:rPr>
        <w:t>LFP-</w:t>
      </w:r>
      <w:r w:rsidR="00A70EE6" w:rsidRPr="00DD3670">
        <w:rPr>
          <w:rFonts w:eastAsia="DengXian" w:hint="eastAsia"/>
          <w:bCs/>
        </w:rPr>
        <w:t>I</w:t>
      </w:r>
      <w:r w:rsidR="00CD3DC9" w:rsidRPr="00DD3670">
        <w:rPr>
          <w:rFonts w:eastAsia="DengXian" w:hint="eastAsia"/>
          <w:bCs/>
        </w:rPr>
        <w:t xml:space="preserve"> in </w:t>
      </w:r>
      <w:r w:rsidR="00CD3DC9" w:rsidRPr="00DD3670">
        <w:rPr>
          <w:rFonts w:eastAsia="DengXian"/>
        </w:rPr>
        <w:t>2.5–3.65 V</w:t>
      </w:r>
    </w:p>
    <w:p w14:paraId="40AE24E2" w14:textId="576BA00F" w:rsidR="0022427E" w:rsidRPr="00DD3670" w:rsidRDefault="00CD3DC9" w:rsidP="00CD3C71">
      <w:pPr>
        <w:snapToGrid w:val="0"/>
        <w:spacing w:before="240" w:after="120" w:line="240" w:lineRule="auto"/>
        <w:rPr>
          <w:rFonts w:eastAsia="DengXian"/>
          <w:bCs/>
        </w:rPr>
      </w:pPr>
      <w:r w:rsidRPr="00DD3670">
        <w:rPr>
          <w:rFonts w:eastAsia="DengXian"/>
        </w:rPr>
        <w:t>The applied voltage window for the half-cell tests was 2.5–3.65 V, which corresponds to the conventional charge–discharge range of LFP. Within this range, the reversible phase transitions between LiFePO</w:t>
      </w:r>
      <w:r w:rsidRPr="00DD3670">
        <w:rPr>
          <w:rFonts w:eastAsia="DengXian"/>
          <w:vertAlign w:val="subscript"/>
        </w:rPr>
        <w:t>4</w:t>
      </w:r>
      <w:r w:rsidRPr="00DD3670">
        <w:rPr>
          <w:rFonts w:eastAsia="DengXian"/>
        </w:rPr>
        <w:t xml:space="preserve"> (LFP) and FePO</w:t>
      </w:r>
      <w:r w:rsidRPr="00DD3670">
        <w:rPr>
          <w:rFonts w:eastAsia="DengXian"/>
          <w:vertAlign w:val="subscript"/>
        </w:rPr>
        <w:t>4</w:t>
      </w:r>
      <w:r w:rsidRPr="00DD3670">
        <w:rPr>
          <w:rFonts w:eastAsia="DengXian"/>
        </w:rPr>
        <w:t xml:space="preserve"> (FP) can be effectively monitored. Both CA and IA formation protocols were implemented under this window to track and compare the structural evolution pathways in real time.</w:t>
      </w:r>
      <w:r w:rsidR="0022427E" w:rsidRPr="00DD3670">
        <w:rPr>
          <w:rFonts w:eastAsia="DengXian"/>
          <w:bCs/>
        </w:rPr>
        <w:br w:type="page"/>
      </w:r>
    </w:p>
    <w:p w14:paraId="739626F9" w14:textId="77777777" w:rsidR="007473BF" w:rsidRPr="00DD3670" w:rsidRDefault="007473BF" w:rsidP="008E2A4A">
      <w:pPr>
        <w:snapToGrid w:val="0"/>
        <w:spacing w:before="120" w:after="120" w:line="240" w:lineRule="auto"/>
        <w:jc w:val="center"/>
      </w:pPr>
    </w:p>
    <w:p w14:paraId="1648C0B4" w14:textId="77777777" w:rsidR="007473BF" w:rsidRPr="00DD3670" w:rsidRDefault="007473BF" w:rsidP="008E2A4A">
      <w:pPr>
        <w:snapToGrid w:val="0"/>
        <w:spacing w:before="120" w:after="120" w:line="240" w:lineRule="auto"/>
        <w:jc w:val="center"/>
      </w:pPr>
    </w:p>
    <w:p w14:paraId="2285205E" w14:textId="2964ACDF" w:rsidR="0022427E" w:rsidRPr="00DD3670" w:rsidRDefault="0061216D" w:rsidP="008E2A4A">
      <w:pPr>
        <w:snapToGrid w:val="0"/>
        <w:spacing w:before="120" w:after="120" w:line="240" w:lineRule="auto"/>
        <w:jc w:val="center"/>
      </w:pPr>
      <w:r w:rsidRPr="00DD3670">
        <w:rPr>
          <w:noProof/>
          <w:lang w:val="en-IN" w:eastAsia="en-IN"/>
        </w:rPr>
        <w:drawing>
          <wp:inline distT="0" distB="0" distL="0" distR="0" wp14:anchorId="782C29B6" wp14:editId="1AA94F9D">
            <wp:extent cx="4852834" cy="3608173"/>
            <wp:effectExtent l="0" t="0" r="508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7024" cy="3611288"/>
                    </a:xfrm>
                    <a:prstGeom prst="rect">
                      <a:avLst/>
                    </a:prstGeom>
                    <a:noFill/>
                    <a:ln>
                      <a:noFill/>
                    </a:ln>
                    <a:effectLst/>
                    <a:extLst/>
                  </pic:spPr>
                </pic:pic>
              </a:graphicData>
            </a:graphic>
          </wp:inline>
        </w:drawing>
      </w:r>
    </w:p>
    <w:p w14:paraId="55457BBE" w14:textId="5BEA0E0E" w:rsidR="009529D8" w:rsidRPr="00DD3670" w:rsidRDefault="00CD3C71" w:rsidP="007473BF">
      <w:pPr>
        <w:autoSpaceDE w:val="0"/>
        <w:autoSpaceDN w:val="0"/>
        <w:adjustRightInd w:val="0"/>
        <w:snapToGrid w:val="0"/>
        <w:spacing w:before="120" w:after="120" w:line="240" w:lineRule="auto"/>
        <w:jc w:val="left"/>
        <w:rPr>
          <w:rFonts w:eastAsia="DengXian"/>
        </w:rPr>
      </w:pPr>
      <w:r w:rsidRPr="00DD3670">
        <w:rPr>
          <w:rFonts w:eastAsia="DengXian"/>
          <w:b/>
        </w:rPr>
        <w:t>Fig.</w:t>
      </w:r>
      <w:r w:rsidR="0022427E" w:rsidRPr="00DD3670">
        <w:rPr>
          <w:rFonts w:eastAsia="DengXian"/>
          <w:b/>
        </w:rPr>
        <w:t xml:space="preserve"> S</w:t>
      </w:r>
      <w:r w:rsidR="0022427E" w:rsidRPr="00DD3670">
        <w:rPr>
          <w:rFonts w:eastAsia="DengXian" w:hint="eastAsia"/>
          <w:b/>
        </w:rPr>
        <w:t>3</w:t>
      </w:r>
      <w:r w:rsidR="0022427E" w:rsidRPr="00DD3670">
        <w:rPr>
          <w:sz w:val="22"/>
        </w:rPr>
        <w:t xml:space="preserve"> (</w:t>
      </w:r>
      <w:r w:rsidR="0022427E" w:rsidRPr="00DD3670">
        <w:rPr>
          <w:b/>
          <w:sz w:val="22"/>
        </w:rPr>
        <w:t>a</w:t>
      </w:r>
      <w:r w:rsidR="0022427E" w:rsidRPr="00DD3670">
        <w:rPr>
          <w:sz w:val="22"/>
        </w:rPr>
        <w:t>) the XRD spectrum of pristine LFP ;In situ XRD patterns of the evolution for (</w:t>
      </w:r>
      <w:r w:rsidR="0022427E" w:rsidRPr="00DD3670">
        <w:rPr>
          <w:b/>
          <w:sz w:val="22"/>
        </w:rPr>
        <w:t>b</w:t>
      </w:r>
      <w:r w:rsidR="0022427E" w:rsidRPr="00DD3670">
        <w:rPr>
          <w:sz w:val="22"/>
        </w:rPr>
        <w:t>) LFP-C</w:t>
      </w:r>
      <w:r w:rsidR="0022427E" w:rsidRPr="00DD3670">
        <w:rPr>
          <w:rFonts w:hint="eastAsia"/>
          <w:sz w:val="22"/>
        </w:rPr>
        <w:t>,</w:t>
      </w:r>
      <w:r w:rsidR="0022427E" w:rsidRPr="00DD3670">
        <w:rPr>
          <w:sz w:val="22"/>
        </w:rPr>
        <w:t xml:space="preserve"> (</w:t>
      </w:r>
      <w:r w:rsidR="0022427E" w:rsidRPr="00DD3670">
        <w:rPr>
          <w:b/>
          <w:sz w:val="22"/>
        </w:rPr>
        <w:t>c</w:t>
      </w:r>
      <w:r w:rsidR="0022427E" w:rsidRPr="00DD3670">
        <w:rPr>
          <w:sz w:val="22"/>
        </w:rPr>
        <w:t xml:space="preserve">) LFP-I </w:t>
      </w:r>
      <w:r w:rsidR="0022427E" w:rsidRPr="00DD3670">
        <w:rPr>
          <w:rFonts w:hint="eastAsia"/>
          <w:sz w:val="22"/>
        </w:rPr>
        <w:t xml:space="preserve">and </w:t>
      </w:r>
      <w:r w:rsidR="0022427E" w:rsidRPr="00DD3670">
        <w:rPr>
          <w:sz w:val="22"/>
        </w:rPr>
        <w:t>(</w:t>
      </w:r>
      <w:r w:rsidR="0022427E" w:rsidRPr="00DD3670">
        <w:rPr>
          <w:rFonts w:hint="eastAsia"/>
          <w:b/>
          <w:sz w:val="22"/>
        </w:rPr>
        <w:t>d</w:t>
      </w:r>
      <w:r w:rsidR="0022427E" w:rsidRPr="00DD3670">
        <w:rPr>
          <w:sz w:val="22"/>
        </w:rPr>
        <w:t>) LFP-II</w:t>
      </w:r>
      <w:r w:rsidR="0022427E" w:rsidRPr="00DD3670">
        <w:rPr>
          <w:rFonts w:eastAsia="DengXian"/>
        </w:rPr>
        <w:t xml:space="preserve"> </w:t>
      </w:r>
    </w:p>
    <w:p w14:paraId="2A07D1E5" w14:textId="3D690A5E" w:rsidR="0022427E" w:rsidRPr="00DD3670" w:rsidRDefault="009529D8" w:rsidP="007473BF">
      <w:pPr>
        <w:autoSpaceDE w:val="0"/>
        <w:autoSpaceDN w:val="0"/>
        <w:adjustRightInd w:val="0"/>
        <w:snapToGrid w:val="0"/>
        <w:spacing w:before="240" w:after="120" w:line="240" w:lineRule="auto"/>
        <w:ind w:firstLineChars="100" w:firstLine="240"/>
        <w:rPr>
          <w:rFonts w:eastAsia="DengXian"/>
        </w:rPr>
      </w:pPr>
      <w:r w:rsidRPr="00DD3670">
        <w:rPr>
          <w:rFonts w:eastAsia="DengXian"/>
        </w:rPr>
        <w:t xml:space="preserve">To further strengthen the reliability of our conclusions, we conducted additional comparative experiments under different activation conditions. In particular, for the charging-discharging-both-multi-step segmented indirect activation (LFP-II), the cells were cycled with charging at 0.4C, 0.3C, 0.2C, and 0.1C and discharging at the same sequence. In-situ XRD tests </w:t>
      </w:r>
      <w:r w:rsidRPr="00DD3670">
        <w:rPr>
          <w:rFonts w:eastAsia="DengXian" w:hint="eastAsia"/>
        </w:rPr>
        <w:t>was</w:t>
      </w:r>
      <w:r w:rsidRPr="00DD3670">
        <w:rPr>
          <w:rFonts w:eastAsia="DengXian"/>
        </w:rPr>
        <w:t xml:space="preserve"> employed to probe interfacial and structural evolution. In LFP-II, the diffraction peaks corresponding to the (020) and (211) planes remained relatively intense, while the FP (211) peak was weak, indicating incomplete phase transformation and increased resistance to Li+ migration. Conversely, in LFP-I, the diffraction peak inte</w:t>
      </w:r>
      <w:r w:rsidRPr="00DD3670">
        <w:rPr>
          <w:rFonts w:eastAsia="DengXian" w:hint="eastAsia"/>
        </w:rPr>
        <w:t>nsities of the (020) and (211) planes gradually weakened until disappearance, while the FePO</w:t>
      </w:r>
      <w:r w:rsidRPr="00DD3670">
        <w:rPr>
          <w:rFonts w:eastAsia="DengXian" w:hint="eastAsia"/>
          <w:vertAlign w:val="subscript"/>
        </w:rPr>
        <w:t>4</w:t>
      </w:r>
      <w:r w:rsidRPr="00DD3670">
        <w:rPr>
          <w:rFonts w:eastAsia="DengXian" w:hint="eastAsia"/>
        </w:rPr>
        <w:t xml:space="preserve"> peaks (e.g., (</w:t>
      </w:r>
      <w:r w:rsidR="0061216D" w:rsidRPr="00DD3670">
        <w:rPr>
          <w:rFonts w:eastAsia="DengXian" w:hint="eastAsia"/>
        </w:rPr>
        <w:t>2</w:t>
      </w:r>
      <w:r w:rsidRPr="00DD3670">
        <w:rPr>
          <w:rFonts w:eastAsia="DengXian" w:hint="eastAsia"/>
        </w:rPr>
        <w:t>11)) progressively intensified, confirming a complete orthorhombic-to-monoclinic transition during the LiFePO</w:t>
      </w:r>
      <w:r w:rsidRPr="00DD3670">
        <w:rPr>
          <w:rFonts w:eastAsia="DengXian" w:hint="eastAsia"/>
          <w:vertAlign w:val="subscript"/>
        </w:rPr>
        <w:t>4</w:t>
      </w:r>
      <w:r w:rsidRPr="00DD3670">
        <w:rPr>
          <w:rFonts w:eastAsia="DengXian" w:hint="eastAsia"/>
        </w:rPr>
        <w:t xml:space="preserve"> </w:t>
      </w:r>
      <w:r w:rsidRPr="00DD3670">
        <w:rPr>
          <w:rFonts w:eastAsia="DengXian" w:hint="eastAsia"/>
        </w:rPr>
        <w:t>→</w:t>
      </w:r>
      <w:r w:rsidRPr="00DD3670">
        <w:rPr>
          <w:rFonts w:eastAsia="DengXian" w:hint="eastAsia"/>
        </w:rPr>
        <w:t xml:space="preserve"> FePO</w:t>
      </w:r>
      <w:r w:rsidRPr="00DD3670">
        <w:rPr>
          <w:rFonts w:eastAsia="DengXian" w:hint="eastAsia"/>
          <w:vertAlign w:val="subscript"/>
        </w:rPr>
        <w:t>4</w:t>
      </w:r>
      <w:r w:rsidRPr="00DD3670">
        <w:rPr>
          <w:rFonts w:eastAsia="DengXian"/>
        </w:rPr>
        <w:t xml:space="preserve"> conversion.</w:t>
      </w:r>
      <w:r w:rsidR="00A06558" w:rsidRPr="00DD3670">
        <w:rPr>
          <w:rFonts w:eastAsia="DengXian"/>
        </w:rPr>
        <w:br w:type="page"/>
      </w:r>
    </w:p>
    <w:p w14:paraId="2F95817E" w14:textId="77777777" w:rsidR="0022427E" w:rsidRPr="00DD3670" w:rsidRDefault="0022427E" w:rsidP="008E2A4A">
      <w:pPr>
        <w:autoSpaceDE w:val="0"/>
        <w:autoSpaceDN w:val="0"/>
        <w:adjustRightInd w:val="0"/>
        <w:snapToGrid w:val="0"/>
        <w:spacing w:before="120" w:after="120" w:line="240" w:lineRule="auto"/>
        <w:ind w:firstLineChars="100" w:firstLine="240"/>
        <w:jc w:val="center"/>
        <w:rPr>
          <w:rFonts w:eastAsia="DengXian"/>
        </w:rPr>
      </w:pPr>
    </w:p>
    <w:p w14:paraId="4B083655" w14:textId="7203AA85" w:rsidR="0022427E" w:rsidRPr="00DD3670" w:rsidRDefault="00CF1FD7" w:rsidP="008E2A4A">
      <w:pPr>
        <w:spacing w:before="120" w:after="120" w:line="240" w:lineRule="auto"/>
        <w:jc w:val="center"/>
      </w:pPr>
      <w:r w:rsidRPr="00DD3670">
        <w:rPr>
          <w:noProof/>
          <w:lang w:val="en-IN" w:eastAsia="en-IN"/>
        </w:rPr>
        <w:drawing>
          <wp:inline distT="0" distB="0" distL="0" distR="0" wp14:anchorId="11B19818" wp14:editId="0B8F6878">
            <wp:extent cx="4312151" cy="3453714"/>
            <wp:effectExtent l="0" t="0" r="0" b="0"/>
            <wp:docPr id="15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16401" cy="3457118"/>
                    </a:xfrm>
                    <a:prstGeom prst="rect">
                      <a:avLst/>
                    </a:prstGeom>
                    <a:noFill/>
                    <a:ln>
                      <a:noFill/>
                    </a:ln>
                    <a:effectLst/>
                    <a:extLst/>
                  </pic:spPr>
                </pic:pic>
              </a:graphicData>
            </a:graphic>
          </wp:inline>
        </w:drawing>
      </w:r>
    </w:p>
    <w:p w14:paraId="4D434DAD" w14:textId="1B3485B3" w:rsidR="00A06558" w:rsidRPr="00DD3670" w:rsidRDefault="00CD3C71" w:rsidP="007473BF">
      <w:pPr>
        <w:autoSpaceDE w:val="0"/>
        <w:autoSpaceDN w:val="0"/>
        <w:adjustRightInd w:val="0"/>
        <w:snapToGrid w:val="0"/>
        <w:spacing w:before="120" w:after="120" w:line="240" w:lineRule="auto"/>
        <w:rPr>
          <w:rFonts w:eastAsia="DengXian"/>
        </w:rPr>
      </w:pPr>
      <w:r w:rsidRPr="00DD3670">
        <w:rPr>
          <w:rFonts w:eastAsia="DengXian"/>
          <w:b/>
        </w:rPr>
        <w:t>Fig.</w:t>
      </w:r>
      <w:r w:rsidR="0022427E" w:rsidRPr="00DD3670">
        <w:rPr>
          <w:rFonts w:eastAsia="DengXian"/>
          <w:b/>
        </w:rPr>
        <w:t xml:space="preserve"> </w:t>
      </w:r>
      <w:r w:rsidR="0022427E" w:rsidRPr="00DD3670">
        <w:rPr>
          <w:rFonts w:eastAsia="DengXian" w:hint="eastAsia"/>
          <w:b/>
        </w:rPr>
        <w:t>S4</w:t>
      </w:r>
      <w:r w:rsidR="0022427E" w:rsidRPr="00DD3670">
        <w:rPr>
          <w:rFonts w:eastAsia="DengXian"/>
          <w:b/>
        </w:rPr>
        <w:t xml:space="preserve"> </w:t>
      </w:r>
      <w:r w:rsidR="0022427E" w:rsidRPr="00DD3670">
        <w:rPr>
          <w:sz w:val="22"/>
        </w:rPr>
        <w:t xml:space="preserve">Optical photographs before and after single-particle </w:t>
      </w:r>
      <w:r w:rsidR="0022427E" w:rsidRPr="00DD3670">
        <w:rPr>
          <w:rFonts w:hint="eastAsia"/>
          <w:sz w:val="22"/>
        </w:rPr>
        <w:t>stress</w:t>
      </w:r>
      <w:r w:rsidR="0022427E" w:rsidRPr="00DD3670">
        <w:rPr>
          <w:sz w:val="22"/>
        </w:rPr>
        <w:t xml:space="preserve"> testing for the (</w:t>
      </w:r>
      <w:r w:rsidR="0022427E" w:rsidRPr="00DD3670">
        <w:rPr>
          <w:rFonts w:hint="eastAsia"/>
          <w:b/>
          <w:sz w:val="22"/>
        </w:rPr>
        <w:t>a</w:t>
      </w:r>
      <w:r w:rsidR="0022427E" w:rsidRPr="00DD3670">
        <w:rPr>
          <w:sz w:val="22"/>
        </w:rPr>
        <w:t xml:space="preserve">) </w:t>
      </w:r>
      <w:r w:rsidR="0022427E" w:rsidRPr="00DD3670">
        <w:rPr>
          <w:rFonts w:hint="eastAsia"/>
          <w:sz w:val="22"/>
        </w:rPr>
        <w:t>LFP-C,</w:t>
      </w:r>
      <w:r w:rsidR="0022427E" w:rsidRPr="00DD3670">
        <w:rPr>
          <w:sz w:val="22"/>
        </w:rPr>
        <w:t xml:space="preserve"> (</w:t>
      </w:r>
      <w:r w:rsidR="0022427E" w:rsidRPr="00DD3670">
        <w:rPr>
          <w:rFonts w:hint="eastAsia"/>
          <w:b/>
          <w:sz w:val="22"/>
        </w:rPr>
        <w:t>b</w:t>
      </w:r>
      <w:r w:rsidR="0022427E" w:rsidRPr="00DD3670">
        <w:rPr>
          <w:sz w:val="22"/>
        </w:rPr>
        <w:t xml:space="preserve">) </w:t>
      </w:r>
      <w:r w:rsidR="0022427E" w:rsidRPr="00DD3670">
        <w:rPr>
          <w:rFonts w:hint="eastAsia"/>
          <w:sz w:val="22"/>
        </w:rPr>
        <w:t>LFP-II</w:t>
      </w:r>
      <w:r w:rsidR="0022427E" w:rsidRPr="00DD3670">
        <w:rPr>
          <w:sz w:val="22"/>
        </w:rPr>
        <w:t xml:space="preserve"> and</w:t>
      </w:r>
      <w:r w:rsidR="0022427E" w:rsidRPr="00DD3670">
        <w:rPr>
          <w:rFonts w:hint="eastAsia"/>
          <w:sz w:val="22"/>
        </w:rPr>
        <w:t xml:space="preserve"> </w:t>
      </w:r>
      <w:r w:rsidR="0022427E" w:rsidRPr="00DD3670">
        <w:rPr>
          <w:sz w:val="22"/>
        </w:rPr>
        <w:t>(</w:t>
      </w:r>
      <w:r w:rsidR="0022427E" w:rsidRPr="00DD3670">
        <w:rPr>
          <w:rFonts w:hint="eastAsia"/>
          <w:b/>
          <w:sz w:val="22"/>
        </w:rPr>
        <w:t>c</w:t>
      </w:r>
      <w:r w:rsidR="0022427E" w:rsidRPr="00DD3670">
        <w:rPr>
          <w:sz w:val="22"/>
        </w:rPr>
        <w:t>)</w:t>
      </w:r>
      <w:r w:rsidR="0022427E" w:rsidRPr="00DD3670">
        <w:rPr>
          <w:rFonts w:hint="eastAsia"/>
          <w:sz w:val="22"/>
        </w:rPr>
        <w:t xml:space="preserve"> LFP-I</w:t>
      </w:r>
      <w:r w:rsidR="0022427E" w:rsidRPr="00DD3670">
        <w:rPr>
          <w:sz w:val="22"/>
        </w:rPr>
        <w:t>; (</w:t>
      </w:r>
      <w:r w:rsidR="0022427E" w:rsidRPr="00DD3670">
        <w:rPr>
          <w:rFonts w:hint="eastAsia"/>
          <w:b/>
          <w:sz w:val="22"/>
        </w:rPr>
        <w:t>d</w:t>
      </w:r>
      <w:r w:rsidR="0022427E" w:rsidRPr="00DD3670">
        <w:rPr>
          <w:sz w:val="22"/>
        </w:rPr>
        <w:t>) Curve graph for the single-particle</w:t>
      </w:r>
      <w:r w:rsidR="00CF1FD7" w:rsidRPr="00DD3670">
        <w:rPr>
          <w:rFonts w:hint="eastAsia"/>
          <w:sz w:val="22"/>
        </w:rPr>
        <w:t xml:space="preserve"> by (</w:t>
      </w:r>
      <w:r w:rsidR="00CF1FD7" w:rsidRPr="00DD3670">
        <w:rPr>
          <w:rFonts w:hint="eastAsia"/>
          <w:b/>
          <w:sz w:val="22"/>
        </w:rPr>
        <w:t>e</w:t>
      </w:r>
      <w:r w:rsidR="00CF1FD7" w:rsidRPr="00DD3670">
        <w:rPr>
          <w:rFonts w:hint="eastAsia"/>
          <w:sz w:val="22"/>
        </w:rPr>
        <w:t>)</w:t>
      </w:r>
      <w:r w:rsidR="00CF1FD7" w:rsidRPr="00DD3670">
        <w:rPr>
          <w:sz w:val="22"/>
        </w:rPr>
        <w:t xml:space="preserve"> IEST, SPFT-2000</w:t>
      </w:r>
    </w:p>
    <w:p w14:paraId="33F700CF" w14:textId="77777777" w:rsidR="00536CC6" w:rsidRPr="00DD3670" w:rsidRDefault="00536CC6" w:rsidP="008E2A4A">
      <w:pPr>
        <w:autoSpaceDE w:val="0"/>
        <w:autoSpaceDN w:val="0"/>
        <w:adjustRightInd w:val="0"/>
        <w:snapToGrid w:val="0"/>
        <w:spacing w:before="120" w:after="120" w:line="240" w:lineRule="auto"/>
        <w:ind w:firstLineChars="100" w:firstLine="240"/>
        <w:rPr>
          <w:rFonts w:eastAsia="DengXian"/>
        </w:rPr>
      </w:pPr>
    </w:p>
    <w:p w14:paraId="450DCFFA" w14:textId="77777777" w:rsidR="00074FD4" w:rsidRPr="00DD3670" w:rsidRDefault="00074FD4" w:rsidP="008E2A4A">
      <w:pPr>
        <w:snapToGrid w:val="0"/>
        <w:spacing w:before="120" w:after="120" w:line="240" w:lineRule="auto"/>
        <w:jc w:val="center"/>
      </w:pPr>
      <w:r w:rsidRPr="00DD3670">
        <w:rPr>
          <w:noProof/>
          <w:lang w:val="en-IN" w:eastAsia="en-IN"/>
        </w:rPr>
        <w:drawing>
          <wp:inline distT="0" distB="0" distL="0" distR="0" wp14:anchorId="4C543A75" wp14:editId="56537D42">
            <wp:extent cx="2880000" cy="3724619"/>
            <wp:effectExtent l="0" t="0" r="0" b="0"/>
            <wp:docPr id="4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80000" cy="3724619"/>
                    </a:xfrm>
                    <a:prstGeom prst="rect">
                      <a:avLst/>
                    </a:prstGeom>
                    <a:noFill/>
                    <a:ln>
                      <a:noFill/>
                    </a:ln>
                    <a:effectLst/>
                    <a:extLst/>
                  </pic:spPr>
                </pic:pic>
              </a:graphicData>
            </a:graphic>
          </wp:inline>
        </w:drawing>
      </w:r>
    </w:p>
    <w:p w14:paraId="3DF0720D" w14:textId="2A8C5DA5" w:rsidR="00074FD4" w:rsidRPr="00DD3670" w:rsidRDefault="00CD3C71" w:rsidP="007473BF">
      <w:pPr>
        <w:snapToGrid w:val="0"/>
        <w:spacing w:before="120" w:after="120" w:line="240" w:lineRule="auto"/>
        <w:jc w:val="left"/>
      </w:pPr>
      <w:r w:rsidRPr="00DD3670">
        <w:rPr>
          <w:b/>
        </w:rPr>
        <w:t>Fig.</w:t>
      </w:r>
      <w:r w:rsidR="00074FD4" w:rsidRPr="00DD3670">
        <w:rPr>
          <w:b/>
        </w:rPr>
        <w:t xml:space="preserve"> S</w:t>
      </w:r>
      <w:r w:rsidR="006B6C2F" w:rsidRPr="00DD3670">
        <w:rPr>
          <w:rFonts w:hint="eastAsia"/>
          <w:b/>
        </w:rPr>
        <w:t>5</w:t>
      </w:r>
      <w:r w:rsidR="00074FD4" w:rsidRPr="00DD3670">
        <w:t xml:space="preserve"> </w:t>
      </w:r>
      <w:r w:rsidR="00074FD4" w:rsidRPr="00DD3670">
        <w:rPr>
          <w:rFonts w:eastAsia="Times New Roman"/>
        </w:rPr>
        <w:t xml:space="preserve">XPS spectra of </w:t>
      </w:r>
      <w:r w:rsidR="00074FD4" w:rsidRPr="00DD3670">
        <w:rPr>
          <w:rFonts w:eastAsiaTheme="minorEastAsia" w:hint="eastAsia"/>
        </w:rPr>
        <w:t>F 1s</w:t>
      </w:r>
      <w:r w:rsidR="00074FD4" w:rsidRPr="00DD3670">
        <w:rPr>
          <w:rFonts w:eastAsia="Times New Roman"/>
        </w:rPr>
        <w:t xml:space="preserve"> for</w:t>
      </w:r>
      <w:r w:rsidR="00074FD4" w:rsidRPr="00DD3670">
        <w:t xml:space="preserve"> </w:t>
      </w:r>
      <w:r w:rsidR="00074FD4" w:rsidRPr="00DD3670">
        <w:rPr>
          <w:rFonts w:hint="eastAsia"/>
        </w:rPr>
        <w:t>LFP-C</w:t>
      </w:r>
      <w:r w:rsidR="00074FD4" w:rsidRPr="00DD3670">
        <w:rPr>
          <w:rFonts w:eastAsiaTheme="minorEastAsia" w:hint="eastAsia"/>
        </w:rPr>
        <w:t xml:space="preserve"> </w:t>
      </w:r>
      <w:r w:rsidR="00074FD4" w:rsidRPr="00DD3670">
        <w:t>in the different etching depths</w:t>
      </w:r>
    </w:p>
    <w:p w14:paraId="5D71FCB2" w14:textId="3A09CF75" w:rsidR="00074FD4" w:rsidRPr="00DD3670" w:rsidRDefault="00074FD4" w:rsidP="008E2A4A">
      <w:pPr>
        <w:autoSpaceDE w:val="0"/>
        <w:autoSpaceDN w:val="0"/>
        <w:adjustRightInd w:val="0"/>
        <w:snapToGrid w:val="0"/>
        <w:spacing w:before="120" w:after="120" w:line="240" w:lineRule="auto"/>
        <w:ind w:firstLineChars="100" w:firstLine="240"/>
        <w:rPr>
          <w:rFonts w:eastAsia="DengXian"/>
        </w:rPr>
      </w:pPr>
      <w:r w:rsidRPr="00DD3670">
        <w:rPr>
          <w:rFonts w:eastAsia="DengXian"/>
        </w:rPr>
        <w:br w:type="page"/>
      </w:r>
    </w:p>
    <w:p w14:paraId="25687B58" w14:textId="77777777" w:rsidR="00074FD4" w:rsidRPr="00DD3670" w:rsidRDefault="00074FD4" w:rsidP="008E2A4A">
      <w:pPr>
        <w:autoSpaceDE w:val="0"/>
        <w:autoSpaceDN w:val="0"/>
        <w:adjustRightInd w:val="0"/>
        <w:snapToGrid w:val="0"/>
        <w:spacing w:before="120" w:after="120" w:line="240" w:lineRule="auto"/>
        <w:ind w:firstLineChars="100" w:firstLine="240"/>
        <w:rPr>
          <w:rFonts w:eastAsia="DengXian"/>
        </w:rPr>
      </w:pPr>
    </w:p>
    <w:p w14:paraId="040E26F1" w14:textId="77777777" w:rsidR="00074FD4" w:rsidRPr="00DD3670" w:rsidRDefault="00074FD4" w:rsidP="008E2A4A">
      <w:pPr>
        <w:adjustRightInd w:val="0"/>
        <w:snapToGrid w:val="0"/>
        <w:spacing w:before="120" w:after="120" w:line="240" w:lineRule="auto"/>
        <w:jc w:val="center"/>
        <w:rPr>
          <w:bCs/>
        </w:rPr>
      </w:pPr>
      <w:r w:rsidRPr="00DD3670">
        <w:rPr>
          <w:bCs/>
          <w:noProof/>
          <w:lang w:val="en-IN" w:eastAsia="en-IN"/>
        </w:rPr>
        <w:drawing>
          <wp:inline distT="0" distB="0" distL="0" distR="0" wp14:anchorId="375B314F" wp14:editId="407F74EC">
            <wp:extent cx="2880000" cy="3685689"/>
            <wp:effectExtent l="0" t="0" r="0" b="0"/>
            <wp:docPr id="41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0000" cy="3685689"/>
                    </a:xfrm>
                    <a:prstGeom prst="rect">
                      <a:avLst/>
                    </a:prstGeom>
                    <a:noFill/>
                    <a:ln>
                      <a:noFill/>
                    </a:ln>
                    <a:effectLst/>
                    <a:extLst/>
                  </pic:spPr>
                </pic:pic>
              </a:graphicData>
            </a:graphic>
          </wp:inline>
        </w:drawing>
      </w:r>
      <w:bookmarkStart w:id="0" w:name="_GoBack"/>
      <w:bookmarkEnd w:id="0"/>
    </w:p>
    <w:p w14:paraId="78F81B1E" w14:textId="0A3E28DB" w:rsidR="00074FD4" w:rsidRPr="00DD3670" w:rsidRDefault="00CD3C71" w:rsidP="007473BF">
      <w:pPr>
        <w:snapToGrid w:val="0"/>
        <w:spacing w:before="120" w:after="120" w:line="240" w:lineRule="auto"/>
        <w:jc w:val="left"/>
        <w:rPr>
          <w:rFonts w:eastAsia="DengXian"/>
        </w:rPr>
      </w:pPr>
      <w:r w:rsidRPr="00DD3670">
        <w:rPr>
          <w:b/>
        </w:rPr>
        <w:t>Fig.</w:t>
      </w:r>
      <w:r w:rsidR="00074FD4" w:rsidRPr="00DD3670">
        <w:rPr>
          <w:b/>
        </w:rPr>
        <w:t xml:space="preserve"> S</w:t>
      </w:r>
      <w:r w:rsidR="006B6C2F" w:rsidRPr="00DD3670">
        <w:rPr>
          <w:rFonts w:hint="eastAsia"/>
          <w:b/>
        </w:rPr>
        <w:t>6</w:t>
      </w:r>
      <w:r w:rsidR="00074FD4" w:rsidRPr="00DD3670">
        <w:t xml:space="preserve"> </w:t>
      </w:r>
      <w:r w:rsidR="00074FD4" w:rsidRPr="00DD3670">
        <w:rPr>
          <w:rFonts w:eastAsia="Times New Roman"/>
        </w:rPr>
        <w:t xml:space="preserve">XPS spectra of </w:t>
      </w:r>
      <w:r w:rsidR="00074FD4" w:rsidRPr="00DD3670">
        <w:rPr>
          <w:rFonts w:eastAsiaTheme="minorEastAsia" w:hint="eastAsia"/>
        </w:rPr>
        <w:t>F 1s</w:t>
      </w:r>
      <w:r w:rsidR="00074FD4" w:rsidRPr="00DD3670">
        <w:rPr>
          <w:rFonts w:eastAsia="Times New Roman"/>
        </w:rPr>
        <w:t xml:space="preserve"> for</w:t>
      </w:r>
      <w:r w:rsidR="00074FD4" w:rsidRPr="00DD3670">
        <w:t xml:space="preserve"> </w:t>
      </w:r>
      <w:r w:rsidR="00074FD4" w:rsidRPr="00DD3670">
        <w:rPr>
          <w:rFonts w:hint="eastAsia"/>
        </w:rPr>
        <w:t>LFP-I</w:t>
      </w:r>
      <w:r w:rsidR="00074FD4" w:rsidRPr="00DD3670">
        <w:rPr>
          <w:rFonts w:eastAsiaTheme="minorEastAsia" w:hint="eastAsia"/>
        </w:rPr>
        <w:t xml:space="preserve"> </w:t>
      </w:r>
      <w:r w:rsidR="00074FD4" w:rsidRPr="00DD3670">
        <w:t>in the different etching depths</w:t>
      </w:r>
    </w:p>
    <w:p w14:paraId="68002B2C" w14:textId="77777777" w:rsidR="00074FD4" w:rsidRPr="00DD3670" w:rsidRDefault="00074FD4" w:rsidP="008E2A4A">
      <w:pPr>
        <w:autoSpaceDE w:val="0"/>
        <w:autoSpaceDN w:val="0"/>
        <w:adjustRightInd w:val="0"/>
        <w:snapToGrid w:val="0"/>
        <w:spacing w:before="120" w:after="120" w:line="240" w:lineRule="auto"/>
        <w:ind w:firstLineChars="100" w:firstLine="240"/>
        <w:rPr>
          <w:rFonts w:eastAsia="DengXian"/>
        </w:rPr>
      </w:pPr>
    </w:p>
    <w:p w14:paraId="35364328" w14:textId="77777777" w:rsidR="00074FD4" w:rsidRPr="00DD3670" w:rsidRDefault="00074FD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1148DEDC" wp14:editId="339A537F">
            <wp:extent cx="3408363" cy="266382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08363" cy="266382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7DBB30B7" w14:textId="01B91AC5" w:rsidR="00074FD4" w:rsidRPr="00DD3670" w:rsidRDefault="00CD3C71" w:rsidP="007473BF">
      <w:pPr>
        <w:snapToGrid w:val="0"/>
        <w:spacing w:before="120" w:after="120" w:line="240" w:lineRule="auto"/>
        <w:jc w:val="left"/>
        <w:rPr>
          <w:rFonts w:eastAsia="DengXian"/>
          <w:bCs/>
        </w:rPr>
      </w:pPr>
      <w:r w:rsidRPr="00DD3670">
        <w:rPr>
          <w:b/>
        </w:rPr>
        <w:t>Fig.</w:t>
      </w:r>
      <w:r w:rsidR="00074FD4" w:rsidRPr="00DD3670">
        <w:rPr>
          <w:b/>
        </w:rPr>
        <w:t xml:space="preserve"> S</w:t>
      </w:r>
      <w:r w:rsidR="006B6C2F" w:rsidRPr="00DD3670">
        <w:rPr>
          <w:rFonts w:hint="eastAsia"/>
          <w:b/>
        </w:rPr>
        <w:t>7</w:t>
      </w:r>
      <w:r w:rsidR="00074FD4" w:rsidRPr="00DD3670">
        <w:rPr>
          <w:rFonts w:eastAsia="DengXian"/>
          <w:b/>
        </w:rPr>
        <w:t xml:space="preserve"> </w:t>
      </w:r>
      <w:r w:rsidR="00074FD4" w:rsidRPr="00DD3670">
        <w:rPr>
          <w:rFonts w:eastAsia="DengXian"/>
          <w:bCs/>
        </w:rPr>
        <w:t>3D compositions (</w:t>
      </w:r>
      <w:r w:rsidR="00074FD4" w:rsidRPr="00DD3670">
        <w:rPr>
          <w:rFonts w:eastAsia="DengXian" w:hint="eastAsia"/>
          <w:bCs/>
        </w:rPr>
        <w:t>CP</w:t>
      </w:r>
      <w:r w:rsidR="00074FD4" w:rsidRPr="00DD3670">
        <w:rPr>
          <w:rFonts w:eastAsia="DengXian"/>
          <w:bCs/>
          <w:vertAlign w:val="superscript"/>
        </w:rPr>
        <w:t>–</w:t>
      </w:r>
      <w:r w:rsidR="00074FD4" w:rsidRPr="00DD3670">
        <w:rPr>
          <w:rFonts w:eastAsia="DengXian" w:hint="eastAsia"/>
          <w:bCs/>
        </w:rPr>
        <w:t xml:space="preserve"> </w:t>
      </w:r>
      <w:r w:rsidR="00074FD4" w:rsidRPr="00DD3670">
        <w:rPr>
          <w:rFonts w:eastAsia="DengXian"/>
          <w:bCs/>
        </w:rPr>
        <w:t xml:space="preserve">and </w:t>
      </w:r>
      <w:proofErr w:type="spellStart"/>
      <w:r w:rsidR="00074FD4" w:rsidRPr="00DD3670">
        <w:rPr>
          <w:rFonts w:eastAsia="DengXian" w:hint="eastAsia"/>
          <w:bCs/>
        </w:rPr>
        <w:t>LiP</w:t>
      </w:r>
      <w:proofErr w:type="spellEnd"/>
      <w:r w:rsidR="00074FD4" w:rsidRPr="00DD3670">
        <w:rPr>
          <w:rFonts w:eastAsia="DengXian"/>
          <w:bCs/>
          <w:vertAlign w:val="superscript"/>
        </w:rPr>
        <w:t>–</w:t>
      </w:r>
      <w:r w:rsidR="00074FD4" w:rsidRPr="00DD3670">
        <w:rPr>
          <w:rFonts w:eastAsia="DengXian"/>
          <w:bCs/>
        </w:rPr>
        <w:t>) for (</w:t>
      </w:r>
      <w:r w:rsidR="00074FD4" w:rsidRPr="00DD3670">
        <w:rPr>
          <w:rFonts w:eastAsia="DengXian" w:hint="eastAsia"/>
          <w:b/>
          <w:bCs/>
        </w:rPr>
        <w:t>a</w:t>
      </w:r>
      <w:r w:rsidR="00074FD4" w:rsidRPr="00DD3670">
        <w:rPr>
          <w:rFonts w:eastAsia="DengXian"/>
          <w:bCs/>
        </w:rPr>
        <w:t>) LFP-C and (</w:t>
      </w:r>
      <w:r w:rsidR="00074FD4" w:rsidRPr="00DD3670">
        <w:rPr>
          <w:rFonts w:eastAsia="DengXian" w:hint="eastAsia"/>
          <w:b/>
          <w:bCs/>
        </w:rPr>
        <w:t>b</w:t>
      </w:r>
      <w:r w:rsidR="007473BF" w:rsidRPr="00DD3670">
        <w:rPr>
          <w:rFonts w:eastAsia="DengXian"/>
          <w:bCs/>
        </w:rPr>
        <w:t>) LFP-I; 3D compositions</w:t>
      </w:r>
      <w:r w:rsidR="00074FD4" w:rsidRPr="00DD3670">
        <w:rPr>
          <w:rFonts w:eastAsia="DengXian"/>
          <w:bCs/>
        </w:rPr>
        <w:br w:type="page"/>
      </w:r>
    </w:p>
    <w:p w14:paraId="75F92B18" w14:textId="4A1FDE6B" w:rsidR="00536CC6" w:rsidRPr="00DD3670" w:rsidRDefault="00536CC6" w:rsidP="008E2A4A">
      <w:pPr>
        <w:autoSpaceDE w:val="0"/>
        <w:autoSpaceDN w:val="0"/>
        <w:adjustRightInd w:val="0"/>
        <w:snapToGrid w:val="0"/>
        <w:spacing w:before="120" w:after="120" w:line="240" w:lineRule="auto"/>
        <w:ind w:firstLineChars="100" w:firstLine="240"/>
        <w:jc w:val="center"/>
        <w:rPr>
          <w:rFonts w:eastAsia="DengXian"/>
        </w:rPr>
      </w:pPr>
      <w:r w:rsidRPr="00DD3670">
        <w:rPr>
          <w:rFonts w:eastAsia="DengXian"/>
          <w:noProof/>
          <w:lang w:val="en-IN" w:eastAsia="en-IN"/>
        </w:rPr>
        <w:lastRenderedPageBreak/>
        <w:drawing>
          <wp:inline distT="0" distB="0" distL="0" distR="0" wp14:anchorId="43A49047" wp14:editId="1B3FD2BB">
            <wp:extent cx="4754562" cy="2517775"/>
            <wp:effectExtent l="0" t="0" r="8255" b="0"/>
            <wp:docPr id="30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4562" cy="25177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5B0331D3" w14:textId="4C568C15" w:rsidR="00533EA6" w:rsidRPr="00DD3670" w:rsidRDefault="00CD3C71" w:rsidP="000D3C36">
      <w:pPr>
        <w:snapToGrid w:val="0"/>
        <w:spacing w:before="120" w:after="120" w:line="240" w:lineRule="auto"/>
        <w:rPr>
          <w:rFonts w:eastAsia="DengXian"/>
        </w:rPr>
      </w:pPr>
      <w:r w:rsidRPr="00DD3670">
        <w:rPr>
          <w:rFonts w:eastAsia="DengXian"/>
          <w:b/>
        </w:rPr>
        <w:t>Fig.</w:t>
      </w:r>
      <w:r w:rsidR="00536CC6" w:rsidRPr="00DD3670">
        <w:rPr>
          <w:rFonts w:eastAsia="DengXian"/>
          <w:b/>
        </w:rPr>
        <w:t xml:space="preserve"> S</w:t>
      </w:r>
      <w:r w:rsidR="006B6C2F" w:rsidRPr="00DD3670">
        <w:rPr>
          <w:rFonts w:eastAsia="DengXian" w:hint="eastAsia"/>
          <w:b/>
        </w:rPr>
        <w:t>8</w:t>
      </w:r>
      <w:r w:rsidR="00536CC6" w:rsidRPr="00DD3670">
        <w:t xml:space="preserve"> </w:t>
      </w:r>
      <w:r w:rsidR="00724294" w:rsidRPr="00DD3670">
        <w:rPr>
          <w:rFonts w:eastAsia="DengXian"/>
          <w:bCs/>
        </w:rPr>
        <w:t>HR-TEM image of the selected area with the FFT image and lattice spacing diagram for LFP-C</w:t>
      </w:r>
    </w:p>
    <w:p w14:paraId="3686DBEC" w14:textId="4A4735D2" w:rsidR="00F637A0" w:rsidRPr="00DD3670" w:rsidRDefault="006B6C2F" w:rsidP="008E2A4A">
      <w:pPr>
        <w:snapToGrid w:val="0"/>
        <w:spacing w:before="120" w:after="120" w:line="240" w:lineRule="auto"/>
        <w:jc w:val="center"/>
        <w:rPr>
          <w:b/>
          <w:bCs/>
        </w:rPr>
      </w:pPr>
      <w:r w:rsidRPr="00DD3670">
        <w:rPr>
          <w:b/>
          <w:bCs/>
          <w:noProof/>
          <w:lang w:val="en-IN" w:eastAsia="en-IN"/>
        </w:rPr>
        <w:drawing>
          <wp:inline distT="0" distB="0" distL="0" distR="0" wp14:anchorId="28E89FF1" wp14:editId="7F4CB48B">
            <wp:extent cx="4535487" cy="2517775"/>
            <wp:effectExtent l="0" t="0" r="0" b="0"/>
            <wp:docPr id="14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35487" cy="25177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15A8CF52" w14:textId="2457BBE7" w:rsidR="008359DA" w:rsidRPr="00DD3670" w:rsidRDefault="008359DA" w:rsidP="008E2A4A">
      <w:pPr>
        <w:snapToGrid w:val="0"/>
        <w:spacing w:before="120" w:after="120" w:line="240" w:lineRule="auto"/>
        <w:jc w:val="center"/>
        <w:rPr>
          <w:b/>
          <w:bCs/>
        </w:rPr>
      </w:pPr>
    </w:p>
    <w:p w14:paraId="5FC1FCC9" w14:textId="3D186F58" w:rsidR="00EB4817" w:rsidRPr="00DD3670" w:rsidRDefault="00CD3C71" w:rsidP="008E2A4A">
      <w:pPr>
        <w:snapToGrid w:val="0"/>
        <w:spacing w:before="120" w:after="120" w:line="240" w:lineRule="auto"/>
        <w:rPr>
          <w:rFonts w:eastAsia="DengXian"/>
          <w:bCs/>
        </w:rPr>
      </w:pPr>
      <w:r w:rsidRPr="00DD3670">
        <w:rPr>
          <w:rFonts w:eastAsia="DengXian"/>
          <w:b/>
        </w:rPr>
        <w:t>Fig.</w:t>
      </w:r>
      <w:r w:rsidR="00EB4817" w:rsidRPr="00DD3670">
        <w:rPr>
          <w:rFonts w:eastAsia="DengXian"/>
          <w:b/>
        </w:rPr>
        <w:t xml:space="preserve"> S</w:t>
      </w:r>
      <w:r w:rsidR="006B6C2F" w:rsidRPr="00DD3670">
        <w:rPr>
          <w:rFonts w:eastAsia="DengXian" w:hint="eastAsia"/>
          <w:b/>
        </w:rPr>
        <w:t>9</w:t>
      </w:r>
      <w:r w:rsidR="00EB4817" w:rsidRPr="00DD3670">
        <w:t xml:space="preserve"> </w:t>
      </w:r>
      <w:r w:rsidR="00724294" w:rsidRPr="00DD3670">
        <w:rPr>
          <w:rFonts w:eastAsia="DengXian"/>
          <w:bCs/>
        </w:rPr>
        <w:t>HR-TEM image for selecting the area with the FFT image and the lattice spacing diagram for LFP-I</w:t>
      </w:r>
    </w:p>
    <w:p w14:paraId="4A16627E" w14:textId="01E08930" w:rsidR="00EB4817" w:rsidRPr="00DD3670" w:rsidRDefault="00EB4817" w:rsidP="008E2A4A">
      <w:pPr>
        <w:snapToGrid w:val="0"/>
        <w:spacing w:before="120" w:after="120" w:line="240" w:lineRule="auto"/>
        <w:jc w:val="center"/>
      </w:pPr>
      <w:r w:rsidRPr="00DD3670">
        <w:rPr>
          <w:noProof/>
          <w:lang w:val="en-IN" w:eastAsia="en-IN"/>
        </w:rPr>
        <w:drawing>
          <wp:inline distT="0" distB="0" distL="0" distR="0" wp14:anchorId="1DFB9649" wp14:editId="55178E27">
            <wp:extent cx="4911811" cy="1982348"/>
            <wp:effectExtent l="0" t="0" r="3175" b="0"/>
            <wp:docPr id="30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29690" cy="1989564"/>
                    </a:xfrm>
                    <a:prstGeom prst="rect">
                      <a:avLst/>
                    </a:prstGeom>
                    <a:noFill/>
                    <a:ln>
                      <a:noFill/>
                    </a:ln>
                    <a:effectLst/>
                    <a:extLst/>
                  </pic:spPr>
                </pic:pic>
              </a:graphicData>
            </a:graphic>
          </wp:inline>
        </w:drawing>
      </w:r>
    </w:p>
    <w:p w14:paraId="3307CF66" w14:textId="76B29763" w:rsidR="00EB4817" w:rsidRPr="00DD3670" w:rsidRDefault="00CD3C71" w:rsidP="000D3C36">
      <w:pPr>
        <w:snapToGrid w:val="0"/>
        <w:spacing w:before="120" w:after="120" w:line="240" w:lineRule="auto"/>
        <w:jc w:val="left"/>
      </w:pPr>
      <w:r w:rsidRPr="00DD3670">
        <w:rPr>
          <w:rFonts w:eastAsia="DengXian"/>
          <w:b/>
        </w:rPr>
        <w:t>Fig.</w:t>
      </w:r>
      <w:r w:rsidR="00EB4817" w:rsidRPr="00DD3670">
        <w:rPr>
          <w:rFonts w:eastAsia="DengXian"/>
          <w:b/>
        </w:rPr>
        <w:t xml:space="preserve"> S</w:t>
      </w:r>
      <w:r w:rsidR="0032335F" w:rsidRPr="00DD3670">
        <w:rPr>
          <w:rFonts w:eastAsia="DengXian" w:hint="eastAsia"/>
          <w:b/>
        </w:rPr>
        <w:t>10</w:t>
      </w:r>
      <w:r w:rsidR="00EB4817" w:rsidRPr="00DD3670">
        <w:t xml:space="preserve"> Rietveld reﬁnement results of </w:t>
      </w:r>
      <w:r w:rsidR="00EB4817" w:rsidRPr="00DD3670">
        <w:rPr>
          <w:rFonts w:hint="eastAsia"/>
        </w:rPr>
        <w:t>pristine LiFePO</w:t>
      </w:r>
      <w:r w:rsidR="00EB4817" w:rsidRPr="00DD3670">
        <w:rPr>
          <w:rFonts w:hint="eastAsia"/>
          <w:vertAlign w:val="subscript"/>
        </w:rPr>
        <w:t>4</w:t>
      </w:r>
    </w:p>
    <w:p w14:paraId="1841C31D" w14:textId="0BF20BF9" w:rsidR="00985669" w:rsidRPr="00DD3670" w:rsidRDefault="00985669" w:rsidP="008E2A4A">
      <w:pPr>
        <w:snapToGrid w:val="0"/>
        <w:spacing w:before="120" w:after="120" w:line="240" w:lineRule="auto"/>
      </w:pPr>
      <w:r w:rsidRPr="00DD3670">
        <w:br w:type="page"/>
      </w:r>
    </w:p>
    <w:p w14:paraId="26D83201" w14:textId="278E0387" w:rsidR="003E2799" w:rsidRPr="00DD3670" w:rsidRDefault="003E2799" w:rsidP="008E2A4A">
      <w:pPr>
        <w:snapToGrid w:val="0"/>
        <w:spacing w:before="120" w:after="120" w:line="240" w:lineRule="auto"/>
        <w:jc w:val="center"/>
        <w:rPr>
          <w:rFonts w:eastAsia="楷体"/>
          <w:szCs w:val="16"/>
        </w:rPr>
      </w:pPr>
      <w:r w:rsidRPr="00DD3670">
        <w:rPr>
          <w:rFonts w:eastAsia="楷体"/>
          <w:b/>
          <w:bCs/>
          <w:szCs w:val="16"/>
        </w:rPr>
        <w:lastRenderedPageBreak/>
        <w:t>Table S</w:t>
      </w:r>
      <w:r w:rsidR="000E0F60" w:rsidRPr="00DD3670">
        <w:rPr>
          <w:rFonts w:eastAsia="楷体" w:hint="eastAsia"/>
          <w:b/>
          <w:bCs/>
          <w:szCs w:val="16"/>
        </w:rPr>
        <w:t>1</w:t>
      </w:r>
      <w:r w:rsidRPr="00DD3670">
        <w:rPr>
          <w:rFonts w:eastAsia="楷体"/>
          <w:szCs w:val="16"/>
        </w:rPr>
        <w:t xml:space="preserve"> The corresponding results of the Rietveld refinement </w:t>
      </w:r>
    </w:p>
    <w:tbl>
      <w:tblPr>
        <w:tblW w:w="5953" w:type="dxa"/>
        <w:jc w:val="center"/>
        <w:tblBorders>
          <w:top w:val="single" w:sz="24" w:space="0" w:color="auto"/>
          <w:bottom w:val="single" w:sz="24" w:space="0" w:color="auto"/>
        </w:tblBorders>
        <w:tblLayout w:type="fixed"/>
        <w:tblLook w:val="04A0" w:firstRow="1" w:lastRow="0" w:firstColumn="1" w:lastColumn="0" w:noHBand="0" w:noVBand="1"/>
      </w:tblPr>
      <w:tblGrid>
        <w:gridCol w:w="1455"/>
        <w:gridCol w:w="771"/>
        <w:gridCol w:w="851"/>
        <w:gridCol w:w="1134"/>
        <w:gridCol w:w="1051"/>
        <w:gridCol w:w="691"/>
      </w:tblGrid>
      <w:tr w:rsidR="00DD3670" w:rsidRPr="00DD3670" w14:paraId="0AB91DCC" w14:textId="77777777" w:rsidTr="00233AA3">
        <w:trPr>
          <w:trHeight w:val="607"/>
          <w:jc w:val="center"/>
        </w:trPr>
        <w:tc>
          <w:tcPr>
            <w:tcW w:w="1455" w:type="dxa"/>
            <w:tcBorders>
              <w:top w:val="single" w:sz="8" w:space="0" w:color="auto"/>
              <w:bottom w:val="single" w:sz="4" w:space="0" w:color="auto"/>
            </w:tcBorders>
            <w:shd w:val="clear" w:color="auto" w:fill="auto"/>
            <w:vAlign w:val="center"/>
          </w:tcPr>
          <w:p w14:paraId="4F030E07" w14:textId="77777777" w:rsidR="00233AA3" w:rsidRPr="00DD3670" w:rsidRDefault="00233AA3" w:rsidP="008E2A4A">
            <w:pPr>
              <w:snapToGrid w:val="0"/>
              <w:spacing w:before="120" w:after="120" w:line="240" w:lineRule="auto"/>
              <w:jc w:val="center"/>
              <w:rPr>
                <w:sz w:val="21"/>
                <w:szCs w:val="21"/>
              </w:rPr>
            </w:pPr>
            <w:r w:rsidRPr="00DD3670">
              <w:rPr>
                <w:sz w:val="21"/>
                <w:szCs w:val="21"/>
              </w:rPr>
              <w:t>Sample</w:t>
            </w:r>
          </w:p>
        </w:tc>
        <w:tc>
          <w:tcPr>
            <w:tcW w:w="771" w:type="dxa"/>
            <w:tcBorders>
              <w:top w:val="single" w:sz="8" w:space="0" w:color="auto"/>
              <w:bottom w:val="single" w:sz="4" w:space="0" w:color="auto"/>
            </w:tcBorders>
            <w:vAlign w:val="center"/>
          </w:tcPr>
          <w:p w14:paraId="636DF252" w14:textId="77777777" w:rsidR="00233AA3" w:rsidRPr="00DD3670" w:rsidRDefault="00233AA3" w:rsidP="008E2A4A">
            <w:pPr>
              <w:snapToGrid w:val="0"/>
              <w:spacing w:before="120" w:after="120" w:line="240" w:lineRule="auto"/>
              <w:jc w:val="center"/>
              <w:rPr>
                <w:sz w:val="21"/>
                <w:szCs w:val="21"/>
              </w:rPr>
            </w:pPr>
            <w:proofErr w:type="spellStart"/>
            <w:r w:rsidRPr="00DD3670">
              <w:rPr>
                <w:sz w:val="21"/>
                <w:szCs w:val="21"/>
              </w:rPr>
              <w:t>R</w:t>
            </w:r>
            <w:r w:rsidRPr="00DD3670">
              <w:rPr>
                <w:sz w:val="21"/>
                <w:szCs w:val="21"/>
                <w:vertAlign w:val="subscript"/>
              </w:rPr>
              <w:t>wp</w:t>
            </w:r>
            <w:proofErr w:type="spellEnd"/>
          </w:p>
        </w:tc>
        <w:tc>
          <w:tcPr>
            <w:tcW w:w="851" w:type="dxa"/>
            <w:tcBorders>
              <w:top w:val="single" w:sz="8" w:space="0" w:color="auto"/>
              <w:bottom w:val="single" w:sz="4" w:space="0" w:color="auto"/>
            </w:tcBorders>
            <w:vAlign w:val="center"/>
          </w:tcPr>
          <w:p w14:paraId="0BF62D67" w14:textId="77777777" w:rsidR="00233AA3" w:rsidRPr="00DD3670" w:rsidRDefault="00233AA3" w:rsidP="008E2A4A">
            <w:pPr>
              <w:snapToGrid w:val="0"/>
              <w:spacing w:before="120" w:after="120" w:line="240" w:lineRule="auto"/>
              <w:jc w:val="center"/>
              <w:rPr>
                <w:sz w:val="21"/>
                <w:szCs w:val="21"/>
              </w:rPr>
            </w:pPr>
            <w:proofErr w:type="spellStart"/>
            <w:r w:rsidRPr="00DD3670">
              <w:rPr>
                <w:sz w:val="21"/>
                <w:szCs w:val="21"/>
              </w:rPr>
              <w:t>R</w:t>
            </w:r>
            <w:r w:rsidRPr="00DD3670">
              <w:rPr>
                <w:sz w:val="21"/>
                <w:szCs w:val="21"/>
                <w:vertAlign w:val="subscript"/>
              </w:rPr>
              <w:t>p</w:t>
            </w:r>
            <w:proofErr w:type="spellEnd"/>
          </w:p>
        </w:tc>
        <w:tc>
          <w:tcPr>
            <w:tcW w:w="1134" w:type="dxa"/>
            <w:tcBorders>
              <w:top w:val="single" w:sz="8" w:space="0" w:color="auto"/>
              <w:bottom w:val="single" w:sz="4" w:space="0" w:color="auto"/>
            </w:tcBorders>
            <w:vAlign w:val="center"/>
          </w:tcPr>
          <w:p w14:paraId="7E387453" w14:textId="6CBB817A" w:rsidR="00233AA3" w:rsidRPr="00DD3670" w:rsidRDefault="00233AA3" w:rsidP="008E2A4A">
            <w:pPr>
              <w:snapToGrid w:val="0"/>
              <w:spacing w:before="120" w:after="120" w:line="240" w:lineRule="auto"/>
              <w:jc w:val="center"/>
              <w:rPr>
                <w:sz w:val="21"/>
                <w:szCs w:val="21"/>
              </w:rPr>
            </w:pPr>
            <w:r w:rsidRPr="00DD3670">
              <w:rPr>
                <w:sz w:val="21"/>
                <w:szCs w:val="21"/>
              </w:rPr>
              <w:t>LiFePO</w:t>
            </w:r>
            <w:r w:rsidRPr="00DD3670">
              <w:rPr>
                <w:sz w:val="21"/>
                <w:szCs w:val="21"/>
                <w:vertAlign w:val="subscript"/>
              </w:rPr>
              <w:t>4</w:t>
            </w:r>
          </w:p>
        </w:tc>
        <w:tc>
          <w:tcPr>
            <w:tcW w:w="1051" w:type="dxa"/>
            <w:tcBorders>
              <w:top w:val="single" w:sz="8" w:space="0" w:color="auto"/>
              <w:bottom w:val="single" w:sz="4" w:space="0" w:color="auto"/>
            </w:tcBorders>
            <w:vAlign w:val="center"/>
          </w:tcPr>
          <w:p w14:paraId="2FE4A8B7" w14:textId="2C3EA9A0" w:rsidR="00233AA3" w:rsidRPr="00DD3670" w:rsidRDefault="00233AA3" w:rsidP="008E2A4A">
            <w:pPr>
              <w:snapToGrid w:val="0"/>
              <w:spacing w:before="120" w:after="120" w:line="240" w:lineRule="auto"/>
              <w:jc w:val="center"/>
              <w:rPr>
                <w:sz w:val="21"/>
                <w:szCs w:val="21"/>
              </w:rPr>
            </w:pPr>
            <w:r w:rsidRPr="00DD3670">
              <w:rPr>
                <w:sz w:val="21"/>
                <w:szCs w:val="21"/>
              </w:rPr>
              <w:t>FePO</w:t>
            </w:r>
            <w:r w:rsidRPr="00DD3670">
              <w:rPr>
                <w:sz w:val="21"/>
                <w:szCs w:val="21"/>
                <w:vertAlign w:val="subscript"/>
              </w:rPr>
              <w:t>4</w:t>
            </w:r>
          </w:p>
        </w:tc>
        <w:tc>
          <w:tcPr>
            <w:tcW w:w="691" w:type="dxa"/>
            <w:tcBorders>
              <w:top w:val="single" w:sz="8" w:space="0" w:color="auto"/>
              <w:bottom w:val="single" w:sz="4" w:space="0" w:color="auto"/>
            </w:tcBorders>
            <w:vAlign w:val="center"/>
          </w:tcPr>
          <w:p w14:paraId="56D37EED" w14:textId="2B609EB1" w:rsidR="00233AA3" w:rsidRPr="00DD3670" w:rsidRDefault="00233AA3" w:rsidP="008E2A4A">
            <w:pPr>
              <w:snapToGrid w:val="0"/>
              <w:spacing w:before="120" w:after="120" w:line="240" w:lineRule="auto"/>
              <w:jc w:val="center"/>
              <w:rPr>
                <w:sz w:val="21"/>
                <w:szCs w:val="21"/>
              </w:rPr>
            </w:pPr>
            <w:r w:rsidRPr="00DD3670">
              <w:rPr>
                <w:rFonts w:hint="eastAsia"/>
                <w:sz w:val="21"/>
                <w:szCs w:val="21"/>
              </w:rPr>
              <w:t>C</w:t>
            </w:r>
            <w:r w:rsidRPr="00DD3670">
              <w:rPr>
                <w:sz w:val="21"/>
                <w:szCs w:val="21"/>
              </w:rPr>
              <w:t>hi 2</w:t>
            </w:r>
          </w:p>
        </w:tc>
      </w:tr>
      <w:tr w:rsidR="00DD3670" w:rsidRPr="00DD3670" w14:paraId="1B6E898B" w14:textId="77777777" w:rsidTr="00233AA3">
        <w:trPr>
          <w:trHeight w:val="545"/>
          <w:jc w:val="center"/>
        </w:trPr>
        <w:tc>
          <w:tcPr>
            <w:tcW w:w="1455" w:type="dxa"/>
            <w:tcBorders>
              <w:top w:val="single" w:sz="8" w:space="0" w:color="auto"/>
              <w:bottom w:val="single" w:sz="4" w:space="0" w:color="auto"/>
            </w:tcBorders>
            <w:shd w:val="clear" w:color="auto" w:fill="auto"/>
            <w:vAlign w:val="center"/>
          </w:tcPr>
          <w:p w14:paraId="7AB8CA76" w14:textId="7F40E7E0" w:rsidR="00233AA3" w:rsidRPr="00DD3670" w:rsidRDefault="00233AA3" w:rsidP="008E2A4A">
            <w:pPr>
              <w:snapToGrid w:val="0"/>
              <w:spacing w:before="120" w:after="120" w:line="240" w:lineRule="auto"/>
              <w:jc w:val="center"/>
              <w:rPr>
                <w:sz w:val="21"/>
                <w:szCs w:val="21"/>
              </w:rPr>
            </w:pPr>
            <w:r w:rsidRPr="00DD3670">
              <w:rPr>
                <w:rFonts w:hint="eastAsia"/>
                <w:sz w:val="21"/>
                <w:szCs w:val="21"/>
              </w:rPr>
              <w:t xml:space="preserve"> LiFePO</w:t>
            </w:r>
            <w:r w:rsidRPr="00DD3670">
              <w:rPr>
                <w:rFonts w:hint="eastAsia"/>
                <w:sz w:val="21"/>
                <w:szCs w:val="21"/>
                <w:vertAlign w:val="subscript"/>
              </w:rPr>
              <w:t>4</w:t>
            </w:r>
          </w:p>
        </w:tc>
        <w:tc>
          <w:tcPr>
            <w:tcW w:w="771" w:type="dxa"/>
            <w:tcBorders>
              <w:top w:val="single" w:sz="8" w:space="0" w:color="auto"/>
              <w:bottom w:val="single" w:sz="4" w:space="0" w:color="auto"/>
            </w:tcBorders>
            <w:vAlign w:val="center"/>
          </w:tcPr>
          <w:p w14:paraId="27715C9C" w14:textId="61B01C1E" w:rsidR="00233AA3" w:rsidRPr="00DD3670" w:rsidRDefault="00233AA3" w:rsidP="008E2A4A">
            <w:pPr>
              <w:snapToGrid w:val="0"/>
              <w:spacing w:before="120" w:after="120" w:line="240" w:lineRule="auto"/>
              <w:jc w:val="center"/>
              <w:rPr>
                <w:sz w:val="21"/>
                <w:szCs w:val="21"/>
              </w:rPr>
            </w:pPr>
            <w:r w:rsidRPr="00DD3670">
              <w:rPr>
                <w:rFonts w:hint="eastAsia"/>
                <w:sz w:val="21"/>
                <w:szCs w:val="21"/>
              </w:rPr>
              <w:t>8.48</w:t>
            </w:r>
            <w:r w:rsidRPr="00DD3670">
              <w:rPr>
                <w:sz w:val="21"/>
                <w:szCs w:val="21"/>
              </w:rPr>
              <w:t>%</w:t>
            </w:r>
          </w:p>
        </w:tc>
        <w:tc>
          <w:tcPr>
            <w:tcW w:w="851" w:type="dxa"/>
            <w:tcBorders>
              <w:top w:val="single" w:sz="8" w:space="0" w:color="auto"/>
              <w:bottom w:val="single" w:sz="4" w:space="0" w:color="auto"/>
            </w:tcBorders>
            <w:vAlign w:val="center"/>
          </w:tcPr>
          <w:p w14:paraId="42FA8AF0" w14:textId="4191CF6A" w:rsidR="00233AA3" w:rsidRPr="00DD3670" w:rsidRDefault="00233AA3" w:rsidP="008E2A4A">
            <w:pPr>
              <w:snapToGrid w:val="0"/>
              <w:spacing w:before="120" w:after="120" w:line="240" w:lineRule="auto"/>
              <w:jc w:val="center"/>
              <w:rPr>
                <w:sz w:val="21"/>
                <w:szCs w:val="21"/>
              </w:rPr>
            </w:pPr>
            <w:r w:rsidRPr="00DD3670">
              <w:rPr>
                <w:rFonts w:hint="eastAsia"/>
                <w:sz w:val="21"/>
                <w:szCs w:val="21"/>
              </w:rPr>
              <w:t>9.57</w:t>
            </w:r>
            <w:r w:rsidRPr="00DD3670">
              <w:rPr>
                <w:sz w:val="21"/>
                <w:szCs w:val="21"/>
              </w:rPr>
              <w:t>%</w:t>
            </w:r>
          </w:p>
        </w:tc>
        <w:tc>
          <w:tcPr>
            <w:tcW w:w="1134" w:type="dxa"/>
            <w:tcBorders>
              <w:top w:val="single" w:sz="8" w:space="0" w:color="auto"/>
              <w:bottom w:val="single" w:sz="4" w:space="0" w:color="auto"/>
            </w:tcBorders>
            <w:vAlign w:val="center"/>
          </w:tcPr>
          <w:p w14:paraId="20B0F0DB" w14:textId="2E98C66B" w:rsidR="00233AA3" w:rsidRPr="00DD3670" w:rsidRDefault="00233AA3" w:rsidP="008E2A4A">
            <w:pPr>
              <w:snapToGrid w:val="0"/>
              <w:spacing w:before="120" w:after="120" w:line="240" w:lineRule="auto"/>
              <w:jc w:val="center"/>
              <w:rPr>
                <w:sz w:val="21"/>
                <w:szCs w:val="21"/>
              </w:rPr>
            </w:pPr>
            <w:r w:rsidRPr="00DD3670">
              <w:rPr>
                <w:rFonts w:hint="eastAsia"/>
                <w:sz w:val="21"/>
                <w:szCs w:val="21"/>
              </w:rPr>
              <w:t>/</w:t>
            </w:r>
          </w:p>
        </w:tc>
        <w:tc>
          <w:tcPr>
            <w:tcW w:w="1051" w:type="dxa"/>
            <w:tcBorders>
              <w:top w:val="single" w:sz="8" w:space="0" w:color="auto"/>
              <w:bottom w:val="single" w:sz="4" w:space="0" w:color="auto"/>
            </w:tcBorders>
            <w:vAlign w:val="center"/>
          </w:tcPr>
          <w:p w14:paraId="327296B5" w14:textId="11D7B9B2" w:rsidR="00233AA3" w:rsidRPr="00DD3670" w:rsidRDefault="00233AA3" w:rsidP="008E2A4A">
            <w:pPr>
              <w:snapToGrid w:val="0"/>
              <w:spacing w:before="120" w:after="120" w:line="240" w:lineRule="auto"/>
              <w:jc w:val="center"/>
              <w:rPr>
                <w:sz w:val="21"/>
                <w:szCs w:val="21"/>
              </w:rPr>
            </w:pPr>
            <w:r w:rsidRPr="00DD3670">
              <w:rPr>
                <w:rFonts w:hint="eastAsia"/>
                <w:sz w:val="21"/>
                <w:szCs w:val="21"/>
              </w:rPr>
              <w:t>/</w:t>
            </w:r>
          </w:p>
        </w:tc>
        <w:tc>
          <w:tcPr>
            <w:tcW w:w="691" w:type="dxa"/>
            <w:tcBorders>
              <w:top w:val="single" w:sz="8" w:space="0" w:color="auto"/>
              <w:bottom w:val="single" w:sz="4" w:space="0" w:color="auto"/>
            </w:tcBorders>
            <w:vAlign w:val="center"/>
          </w:tcPr>
          <w:p w14:paraId="3F14C8F7" w14:textId="1511110A" w:rsidR="00233AA3" w:rsidRPr="00DD3670" w:rsidRDefault="00233AA3" w:rsidP="008E2A4A">
            <w:pPr>
              <w:snapToGrid w:val="0"/>
              <w:spacing w:before="120" w:after="120" w:line="240" w:lineRule="auto"/>
              <w:jc w:val="center"/>
              <w:rPr>
                <w:sz w:val="21"/>
                <w:szCs w:val="21"/>
              </w:rPr>
            </w:pPr>
            <w:r w:rsidRPr="00DD3670">
              <w:rPr>
                <w:rFonts w:hint="eastAsia"/>
                <w:sz w:val="21"/>
                <w:szCs w:val="21"/>
              </w:rPr>
              <w:t>2.34</w:t>
            </w:r>
          </w:p>
        </w:tc>
      </w:tr>
      <w:tr w:rsidR="00DD3670" w:rsidRPr="00DD3670" w14:paraId="663830A1" w14:textId="77777777" w:rsidTr="00233AA3">
        <w:trPr>
          <w:trHeight w:val="552"/>
          <w:jc w:val="center"/>
        </w:trPr>
        <w:tc>
          <w:tcPr>
            <w:tcW w:w="1455" w:type="dxa"/>
            <w:tcBorders>
              <w:top w:val="single" w:sz="8" w:space="0" w:color="auto"/>
              <w:bottom w:val="single" w:sz="8" w:space="0" w:color="auto"/>
            </w:tcBorders>
            <w:shd w:val="clear" w:color="auto" w:fill="auto"/>
            <w:vAlign w:val="center"/>
          </w:tcPr>
          <w:p w14:paraId="7A9F5CDA" w14:textId="4E70529A" w:rsidR="00233AA3" w:rsidRPr="00DD3670" w:rsidRDefault="00233AA3" w:rsidP="008E2A4A">
            <w:pPr>
              <w:snapToGrid w:val="0"/>
              <w:spacing w:before="120" w:after="120" w:line="240" w:lineRule="auto"/>
              <w:jc w:val="center"/>
              <w:rPr>
                <w:b/>
                <w:bCs/>
                <w:sz w:val="21"/>
                <w:szCs w:val="21"/>
              </w:rPr>
            </w:pPr>
            <w:r w:rsidRPr="00DD3670">
              <w:rPr>
                <w:rFonts w:hint="eastAsia"/>
                <w:sz w:val="21"/>
                <w:szCs w:val="21"/>
              </w:rPr>
              <w:t>LFP-C</w:t>
            </w:r>
          </w:p>
        </w:tc>
        <w:tc>
          <w:tcPr>
            <w:tcW w:w="771" w:type="dxa"/>
            <w:tcBorders>
              <w:top w:val="single" w:sz="8" w:space="0" w:color="auto"/>
              <w:bottom w:val="single" w:sz="8" w:space="0" w:color="auto"/>
            </w:tcBorders>
            <w:vAlign w:val="center"/>
          </w:tcPr>
          <w:p w14:paraId="64E31C18" w14:textId="0C59CF67" w:rsidR="00233AA3" w:rsidRPr="00DD3670" w:rsidRDefault="00233AA3" w:rsidP="008E2A4A">
            <w:pPr>
              <w:snapToGrid w:val="0"/>
              <w:spacing w:before="120" w:after="120" w:line="240" w:lineRule="auto"/>
              <w:jc w:val="center"/>
              <w:rPr>
                <w:sz w:val="21"/>
                <w:szCs w:val="21"/>
              </w:rPr>
            </w:pPr>
            <w:r w:rsidRPr="00DD3670">
              <w:rPr>
                <w:rFonts w:hint="eastAsia"/>
                <w:sz w:val="21"/>
                <w:szCs w:val="21"/>
              </w:rPr>
              <w:t>8.65</w:t>
            </w:r>
            <w:r w:rsidRPr="00DD3670">
              <w:rPr>
                <w:sz w:val="21"/>
                <w:szCs w:val="21"/>
              </w:rPr>
              <w:t>%</w:t>
            </w:r>
          </w:p>
        </w:tc>
        <w:tc>
          <w:tcPr>
            <w:tcW w:w="851" w:type="dxa"/>
            <w:tcBorders>
              <w:top w:val="single" w:sz="8" w:space="0" w:color="auto"/>
              <w:bottom w:val="single" w:sz="8" w:space="0" w:color="auto"/>
            </w:tcBorders>
            <w:vAlign w:val="center"/>
          </w:tcPr>
          <w:p w14:paraId="77B9AC0B" w14:textId="008A6CFE" w:rsidR="00233AA3" w:rsidRPr="00DD3670" w:rsidRDefault="00233AA3" w:rsidP="008E2A4A">
            <w:pPr>
              <w:snapToGrid w:val="0"/>
              <w:spacing w:before="120" w:after="120" w:line="240" w:lineRule="auto"/>
              <w:jc w:val="center"/>
              <w:rPr>
                <w:sz w:val="21"/>
                <w:szCs w:val="21"/>
              </w:rPr>
            </w:pPr>
            <w:r w:rsidRPr="00DD3670">
              <w:rPr>
                <w:rFonts w:hint="eastAsia"/>
                <w:sz w:val="21"/>
                <w:szCs w:val="21"/>
              </w:rPr>
              <w:t>9.17</w:t>
            </w:r>
            <w:r w:rsidRPr="00DD3670">
              <w:rPr>
                <w:sz w:val="21"/>
                <w:szCs w:val="21"/>
              </w:rPr>
              <w:t>%</w:t>
            </w:r>
          </w:p>
        </w:tc>
        <w:tc>
          <w:tcPr>
            <w:tcW w:w="1134" w:type="dxa"/>
            <w:tcBorders>
              <w:top w:val="single" w:sz="8" w:space="0" w:color="auto"/>
              <w:bottom w:val="single" w:sz="8" w:space="0" w:color="auto"/>
            </w:tcBorders>
            <w:vAlign w:val="center"/>
          </w:tcPr>
          <w:p w14:paraId="290A0E58" w14:textId="63BB96A3" w:rsidR="00233AA3" w:rsidRPr="00DD3670" w:rsidRDefault="00233AA3" w:rsidP="008E2A4A">
            <w:pPr>
              <w:snapToGrid w:val="0"/>
              <w:spacing w:before="120" w:after="120" w:line="240" w:lineRule="auto"/>
              <w:jc w:val="center"/>
              <w:rPr>
                <w:sz w:val="21"/>
                <w:szCs w:val="21"/>
              </w:rPr>
            </w:pPr>
            <w:r w:rsidRPr="00DD3670">
              <w:rPr>
                <w:rFonts w:hint="eastAsia"/>
                <w:sz w:val="21"/>
                <w:szCs w:val="21"/>
              </w:rPr>
              <w:t>82</w:t>
            </w:r>
            <w:r w:rsidRPr="00DD3670">
              <w:rPr>
                <w:sz w:val="21"/>
                <w:szCs w:val="21"/>
              </w:rPr>
              <w:t>%</w:t>
            </w:r>
          </w:p>
        </w:tc>
        <w:tc>
          <w:tcPr>
            <w:tcW w:w="1051" w:type="dxa"/>
            <w:tcBorders>
              <w:top w:val="single" w:sz="8" w:space="0" w:color="auto"/>
              <w:bottom w:val="single" w:sz="8" w:space="0" w:color="auto"/>
            </w:tcBorders>
            <w:vAlign w:val="center"/>
          </w:tcPr>
          <w:p w14:paraId="05ED588D" w14:textId="5DA1D632" w:rsidR="00233AA3" w:rsidRPr="00DD3670" w:rsidRDefault="00233AA3" w:rsidP="008E2A4A">
            <w:pPr>
              <w:snapToGrid w:val="0"/>
              <w:spacing w:before="120" w:after="120" w:line="240" w:lineRule="auto"/>
              <w:jc w:val="center"/>
              <w:rPr>
                <w:sz w:val="21"/>
                <w:szCs w:val="21"/>
              </w:rPr>
            </w:pPr>
            <w:r w:rsidRPr="00DD3670">
              <w:rPr>
                <w:rFonts w:hint="eastAsia"/>
                <w:sz w:val="21"/>
                <w:szCs w:val="21"/>
              </w:rPr>
              <w:t>18</w:t>
            </w:r>
            <w:r w:rsidRPr="00DD3670">
              <w:rPr>
                <w:sz w:val="21"/>
                <w:szCs w:val="21"/>
              </w:rPr>
              <w:t>%</w:t>
            </w:r>
          </w:p>
        </w:tc>
        <w:tc>
          <w:tcPr>
            <w:tcW w:w="691" w:type="dxa"/>
            <w:tcBorders>
              <w:top w:val="single" w:sz="8" w:space="0" w:color="auto"/>
              <w:bottom w:val="single" w:sz="8" w:space="0" w:color="auto"/>
            </w:tcBorders>
            <w:vAlign w:val="center"/>
          </w:tcPr>
          <w:p w14:paraId="01D512A0" w14:textId="5EDB770A" w:rsidR="00233AA3" w:rsidRPr="00DD3670" w:rsidRDefault="00233AA3" w:rsidP="008E2A4A">
            <w:pPr>
              <w:snapToGrid w:val="0"/>
              <w:spacing w:before="120" w:after="120" w:line="240" w:lineRule="auto"/>
              <w:jc w:val="center"/>
              <w:rPr>
                <w:sz w:val="21"/>
                <w:szCs w:val="21"/>
              </w:rPr>
            </w:pPr>
            <w:r w:rsidRPr="00DD3670">
              <w:rPr>
                <w:rFonts w:hint="eastAsia"/>
                <w:sz w:val="21"/>
                <w:szCs w:val="21"/>
              </w:rPr>
              <w:t>2.67</w:t>
            </w:r>
          </w:p>
        </w:tc>
      </w:tr>
      <w:tr w:rsidR="00233AA3" w:rsidRPr="00DD3670" w14:paraId="2C602E48" w14:textId="77777777" w:rsidTr="00233AA3">
        <w:trPr>
          <w:trHeight w:val="552"/>
          <w:jc w:val="center"/>
        </w:trPr>
        <w:tc>
          <w:tcPr>
            <w:tcW w:w="1455" w:type="dxa"/>
            <w:tcBorders>
              <w:top w:val="single" w:sz="8" w:space="0" w:color="auto"/>
              <w:bottom w:val="single" w:sz="8" w:space="0" w:color="auto"/>
            </w:tcBorders>
            <w:shd w:val="clear" w:color="auto" w:fill="auto"/>
            <w:vAlign w:val="center"/>
          </w:tcPr>
          <w:p w14:paraId="7790A73E" w14:textId="642B0B00" w:rsidR="00233AA3" w:rsidRPr="00DD3670" w:rsidRDefault="00233AA3" w:rsidP="008E2A4A">
            <w:pPr>
              <w:snapToGrid w:val="0"/>
              <w:spacing w:before="120" w:after="120" w:line="240" w:lineRule="auto"/>
              <w:jc w:val="center"/>
              <w:rPr>
                <w:b/>
                <w:bCs/>
                <w:sz w:val="21"/>
                <w:szCs w:val="21"/>
              </w:rPr>
            </w:pPr>
            <w:r w:rsidRPr="00DD3670">
              <w:rPr>
                <w:rFonts w:hint="eastAsia"/>
                <w:sz w:val="21"/>
                <w:szCs w:val="21"/>
              </w:rPr>
              <w:t>LFP-I</w:t>
            </w:r>
          </w:p>
        </w:tc>
        <w:tc>
          <w:tcPr>
            <w:tcW w:w="771" w:type="dxa"/>
            <w:tcBorders>
              <w:top w:val="single" w:sz="8" w:space="0" w:color="auto"/>
              <w:bottom w:val="single" w:sz="8" w:space="0" w:color="auto"/>
            </w:tcBorders>
            <w:vAlign w:val="center"/>
          </w:tcPr>
          <w:p w14:paraId="5F3D3AA7" w14:textId="4C4C9008" w:rsidR="00233AA3" w:rsidRPr="00DD3670" w:rsidRDefault="00233AA3" w:rsidP="008E2A4A">
            <w:pPr>
              <w:snapToGrid w:val="0"/>
              <w:spacing w:before="120" w:after="120" w:line="240" w:lineRule="auto"/>
              <w:jc w:val="center"/>
              <w:rPr>
                <w:sz w:val="21"/>
                <w:szCs w:val="21"/>
              </w:rPr>
            </w:pPr>
            <w:r w:rsidRPr="00DD3670">
              <w:rPr>
                <w:rFonts w:hint="eastAsia"/>
                <w:sz w:val="21"/>
                <w:szCs w:val="21"/>
              </w:rPr>
              <w:t>9.43</w:t>
            </w:r>
            <w:r w:rsidRPr="00DD3670">
              <w:rPr>
                <w:sz w:val="21"/>
                <w:szCs w:val="21"/>
              </w:rPr>
              <w:t>%</w:t>
            </w:r>
          </w:p>
        </w:tc>
        <w:tc>
          <w:tcPr>
            <w:tcW w:w="851" w:type="dxa"/>
            <w:tcBorders>
              <w:top w:val="single" w:sz="8" w:space="0" w:color="auto"/>
              <w:bottom w:val="single" w:sz="8" w:space="0" w:color="auto"/>
            </w:tcBorders>
            <w:vAlign w:val="center"/>
          </w:tcPr>
          <w:p w14:paraId="4B000683" w14:textId="657B65E8" w:rsidR="00233AA3" w:rsidRPr="00DD3670" w:rsidRDefault="00233AA3" w:rsidP="008E2A4A">
            <w:pPr>
              <w:snapToGrid w:val="0"/>
              <w:spacing w:before="120" w:after="120" w:line="240" w:lineRule="auto"/>
              <w:jc w:val="center"/>
              <w:rPr>
                <w:sz w:val="21"/>
                <w:szCs w:val="21"/>
              </w:rPr>
            </w:pPr>
            <w:r w:rsidRPr="00DD3670">
              <w:rPr>
                <w:rFonts w:hint="eastAsia"/>
                <w:sz w:val="21"/>
                <w:szCs w:val="21"/>
              </w:rPr>
              <w:t>9.89</w:t>
            </w:r>
            <w:r w:rsidRPr="00DD3670">
              <w:rPr>
                <w:sz w:val="21"/>
                <w:szCs w:val="21"/>
              </w:rPr>
              <w:t>%</w:t>
            </w:r>
          </w:p>
        </w:tc>
        <w:tc>
          <w:tcPr>
            <w:tcW w:w="1134" w:type="dxa"/>
            <w:tcBorders>
              <w:top w:val="single" w:sz="8" w:space="0" w:color="auto"/>
              <w:bottom w:val="single" w:sz="8" w:space="0" w:color="auto"/>
            </w:tcBorders>
            <w:vAlign w:val="center"/>
          </w:tcPr>
          <w:p w14:paraId="5B06B45E" w14:textId="1EF418BB" w:rsidR="00233AA3" w:rsidRPr="00DD3670" w:rsidRDefault="00233AA3" w:rsidP="008E2A4A">
            <w:pPr>
              <w:snapToGrid w:val="0"/>
              <w:spacing w:before="120" w:after="120" w:line="240" w:lineRule="auto"/>
              <w:jc w:val="center"/>
              <w:rPr>
                <w:sz w:val="21"/>
                <w:szCs w:val="21"/>
              </w:rPr>
            </w:pPr>
            <w:r w:rsidRPr="00DD3670">
              <w:rPr>
                <w:rFonts w:hint="eastAsia"/>
                <w:sz w:val="21"/>
                <w:szCs w:val="21"/>
              </w:rPr>
              <w:t>91</w:t>
            </w:r>
            <w:r w:rsidRPr="00DD3670">
              <w:rPr>
                <w:sz w:val="21"/>
                <w:szCs w:val="21"/>
              </w:rPr>
              <w:t>%</w:t>
            </w:r>
          </w:p>
        </w:tc>
        <w:tc>
          <w:tcPr>
            <w:tcW w:w="1051" w:type="dxa"/>
            <w:tcBorders>
              <w:top w:val="single" w:sz="8" w:space="0" w:color="auto"/>
              <w:bottom w:val="single" w:sz="8" w:space="0" w:color="auto"/>
            </w:tcBorders>
            <w:vAlign w:val="center"/>
          </w:tcPr>
          <w:p w14:paraId="046CCA04" w14:textId="71186B2A" w:rsidR="00233AA3" w:rsidRPr="00DD3670" w:rsidRDefault="00233AA3" w:rsidP="008E2A4A">
            <w:pPr>
              <w:snapToGrid w:val="0"/>
              <w:spacing w:before="120" w:after="120" w:line="240" w:lineRule="auto"/>
              <w:jc w:val="center"/>
              <w:rPr>
                <w:sz w:val="21"/>
                <w:szCs w:val="21"/>
              </w:rPr>
            </w:pPr>
            <w:r w:rsidRPr="00DD3670">
              <w:rPr>
                <w:rFonts w:hint="eastAsia"/>
                <w:sz w:val="21"/>
                <w:szCs w:val="21"/>
              </w:rPr>
              <w:t>9</w:t>
            </w:r>
            <w:r w:rsidRPr="00DD3670">
              <w:rPr>
                <w:sz w:val="21"/>
                <w:szCs w:val="21"/>
              </w:rPr>
              <w:t>%</w:t>
            </w:r>
          </w:p>
        </w:tc>
        <w:tc>
          <w:tcPr>
            <w:tcW w:w="691" w:type="dxa"/>
            <w:tcBorders>
              <w:top w:val="single" w:sz="8" w:space="0" w:color="auto"/>
              <w:bottom w:val="single" w:sz="8" w:space="0" w:color="auto"/>
            </w:tcBorders>
            <w:vAlign w:val="center"/>
          </w:tcPr>
          <w:p w14:paraId="2B425FC1" w14:textId="5CBF0038" w:rsidR="00233AA3" w:rsidRPr="00DD3670" w:rsidRDefault="00233AA3" w:rsidP="008E2A4A">
            <w:pPr>
              <w:snapToGrid w:val="0"/>
              <w:spacing w:before="120" w:after="120" w:line="240" w:lineRule="auto"/>
              <w:jc w:val="center"/>
              <w:rPr>
                <w:sz w:val="21"/>
                <w:szCs w:val="21"/>
              </w:rPr>
            </w:pPr>
            <w:r w:rsidRPr="00DD3670">
              <w:rPr>
                <w:rFonts w:hint="eastAsia"/>
                <w:sz w:val="21"/>
                <w:szCs w:val="21"/>
              </w:rPr>
              <w:t>2.98</w:t>
            </w:r>
          </w:p>
        </w:tc>
      </w:tr>
    </w:tbl>
    <w:p w14:paraId="564B59CA" w14:textId="035810C1" w:rsidR="00F34984" w:rsidRPr="00DD3670" w:rsidRDefault="00F34984" w:rsidP="008E2A4A">
      <w:pPr>
        <w:snapToGrid w:val="0"/>
        <w:spacing w:before="120" w:after="120" w:line="240" w:lineRule="auto"/>
        <w:jc w:val="center"/>
        <w:rPr>
          <w:b/>
        </w:rPr>
      </w:pPr>
    </w:p>
    <w:p w14:paraId="0B1AD357" w14:textId="77777777" w:rsidR="00D809E8" w:rsidRPr="00DD3670" w:rsidRDefault="00D809E8" w:rsidP="008E2A4A">
      <w:pPr>
        <w:autoSpaceDE w:val="0"/>
        <w:autoSpaceDN w:val="0"/>
        <w:adjustRightInd w:val="0"/>
        <w:snapToGrid w:val="0"/>
        <w:spacing w:before="120" w:after="120" w:line="240" w:lineRule="auto"/>
        <w:jc w:val="center"/>
        <w:rPr>
          <w:bCs/>
        </w:rPr>
      </w:pPr>
      <w:r w:rsidRPr="00DD3670">
        <w:rPr>
          <w:bCs/>
          <w:noProof/>
          <w:lang w:val="en-IN" w:eastAsia="en-IN"/>
        </w:rPr>
        <w:drawing>
          <wp:inline distT="0" distB="0" distL="0" distR="0" wp14:anchorId="383FEBF3" wp14:editId="074B90EA">
            <wp:extent cx="3600000" cy="2039262"/>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00000" cy="2039262"/>
                    </a:xfrm>
                    <a:prstGeom prst="rect">
                      <a:avLst/>
                    </a:prstGeom>
                    <a:noFill/>
                  </pic:spPr>
                </pic:pic>
              </a:graphicData>
            </a:graphic>
          </wp:inline>
        </w:drawing>
      </w:r>
    </w:p>
    <w:p w14:paraId="379ABE79" w14:textId="6941919A" w:rsidR="00D809E8" w:rsidRPr="00DD3670" w:rsidRDefault="00CD3C71" w:rsidP="000D3C36">
      <w:pPr>
        <w:snapToGrid w:val="0"/>
        <w:spacing w:before="120" w:after="120" w:line="240" w:lineRule="auto"/>
        <w:rPr>
          <w:b/>
        </w:rPr>
      </w:pPr>
      <w:bookmarkStart w:id="1" w:name="OLE_LINK6"/>
      <w:r w:rsidRPr="00DD3670">
        <w:rPr>
          <w:b/>
        </w:rPr>
        <w:t>Fig.</w:t>
      </w:r>
      <w:r w:rsidR="00D809E8" w:rsidRPr="00DD3670">
        <w:rPr>
          <w:b/>
        </w:rPr>
        <w:t xml:space="preserve"> S</w:t>
      </w:r>
      <w:r w:rsidR="0032335F" w:rsidRPr="00DD3670">
        <w:rPr>
          <w:rFonts w:hint="eastAsia"/>
          <w:b/>
        </w:rPr>
        <w:t>11</w:t>
      </w:r>
      <w:r w:rsidR="00D809E8" w:rsidRPr="00DD3670">
        <w:t xml:space="preserve"> XANES spectra of the Fe K-edge before and after cycling with the corresponding local magnification</w:t>
      </w:r>
      <w:bookmarkEnd w:id="1"/>
    </w:p>
    <w:p w14:paraId="4A60BA10" w14:textId="77777777" w:rsidR="00C4206D" w:rsidRPr="00DD3670" w:rsidRDefault="00C4206D" w:rsidP="008E2A4A">
      <w:pPr>
        <w:snapToGrid w:val="0"/>
        <w:spacing w:before="120" w:after="120" w:line="240" w:lineRule="auto"/>
        <w:jc w:val="center"/>
        <w:rPr>
          <w:b/>
        </w:rPr>
      </w:pPr>
    </w:p>
    <w:p w14:paraId="3698E4B9" w14:textId="75BDAD2B" w:rsidR="007828CE" w:rsidRPr="00DD3670" w:rsidRDefault="007828CE" w:rsidP="008E2A4A">
      <w:pPr>
        <w:snapToGrid w:val="0"/>
        <w:spacing w:before="120" w:after="120" w:line="240" w:lineRule="auto"/>
        <w:jc w:val="center"/>
        <w:rPr>
          <w:b/>
        </w:rPr>
      </w:pPr>
      <w:r w:rsidRPr="00DD3670">
        <w:rPr>
          <w:b/>
          <w:noProof/>
          <w:lang w:val="en-IN" w:eastAsia="en-IN"/>
        </w:rPr>
        <w:drawing>
          <wp:inline distT="0" distB="0" distL="0" distR="0" wp14:anchorId="08A94D60" wp14:editId="4F660D2C">
            <wp:extent cx="2520000" cy="2483540"/>
            <wp:effectExtent l="0" t="0" r="0" b="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20000" cy="2483540"/>
                    </a:xfrm>
                    <a:prstGeom prst="rect">
                      <a:avLst/>
                    </a:prstGeom>
                    <a:noFill/>
                    <a:ln>
                      <a:noFill/>
                    </a:ln>
                    <a:effectLst/>
                    <a:extLst/>
                  </pic:spPr>
                </pic:pic>
              </a:graphicData>
            </a:graphic>
          </wp:inline>
        </w:drawing>
      </w:r>
    </w:p>
    <w:p w14:paraId="7DD60E82" w14:textId="7818D45C" w:rsidR="007828CE" w:rsidRPr="00DD3670" w:rsidRDefault="00CD3C71" w:rsidP="008E2A4A">
      <w:pPr>
        <w:snapToGrid w:val="0"/>
        <w:spacing w:before="120" w:after="120" w:line="240" w:lineRule="auto"/>
        <w:rPr>
          <w:rFonts w:eastAsia="Times New Roman"/>
        </w:rPr>
      </w:pPr>
      <w:r w:rsidRPr="00DD3670">
        <w:rPr>
          <w:b/>
        </w:rPr>
        <w:t>Fig.</w:t>
      </w:r>
      <w:r w:rsidR="007828CE" w:rsidRPr="00DD3670">
        <w:rPr>
          <w:b/>
        </w:rPr>
        <w:t xml:space="preserve"> S</w:t>
      </w:r>
      <w:r w:rsidR="00D809E8" w:rsidRPr="00DD3670">
        <w:rPr>
          <w:rFonts w:hint="eastAsia"/>
          <w:b/>
        </w:rPr>
        <w:t>1</w:t>
      </w:r>
      <w:r w:rsidR="0032335F" w:rsidRPr="00DD3670">
        <w:rPr>
          <w:rFonts w:hint="eastAsia"/>
          <w:b/>
        </w:rPr>
        <w:t>2</w:t>
      </w:r>
      <w:r w:rsidR="007828CE" w:rsidRPr="00DD3670">
        <w:rPr>
          <w:bCs/>
        </w:rPr>
        <w:t xml:space="preserve"> </w:t>
      </w:r>
      <w:r w:rsidR="00724294" w:rsidRPr="00DD3670">
        <w:rPr>
          <w:rFonts w:eastAsia="DengXian"/>
          <w:bCs/>
        </w:rPr>
        <w:t>Density functional theory calculations. Crystalline structure and local morphology in (</w:t>
      </w:r>
      <w:r w:rsidR="00724294" w:rsidRPr="00DD3670">
        <w:rPr>
          <w:rFonts w:eastAsia="DengXian"/>
          <w:b/>
          <w:bCs/>
        </w:rPr>
        <w:t>a</w:t>
      </w:r>
      <w:r w:rsidR="00724294" w:rsidRPr="00DD3670">
        <w:rPr>
          <w:rFonts w:eastAsia="DengXian"/>
          <w:bCs/>
        </w:rPr>
        <w:t>) front and (</w:t>
      </w:r>
      <w:r w:rsidR="00724294" w:rsidRPr="00DD3670">
        <w:rPr>
          <w:rFonts w:eastAsia="DengXian"/>
          <w:b/>
          <w:bCs/>
        </w:rPr>
        <w:t>b</w:t>
      </w:r>
      <w:r w:rsidR="00724294" w:rsidRPr="00DD3670">
        <w:rPr>
          <w:rFonts w:eastAsia="DengXian"/>
          <w:bCs/>
        </w:rPr>
        <w:t>) overhead views for LFP-C</w:t>
      </w:r>
      <w:r w:rsidR="007828CE" w:rsidRPr="00DD3670">
        <w:rPr>
          <w:rFonts w:eastAsia="Times New Roman"/>
        </w:rPr>
        <w:br w:type="page"/>
      </w:r>
    </w:p>
    <w:p w14:paraId="59435D2F" w14:textId="514568BF" w:rsidR="00CF13A9" w:rsidRPr="00DD3670" w:rsidRDefault="007828CE" w:rsidP="008E2A4A">
      <w:pPr>
        <w:snapToGrid w:val="0"/>
        <w:spacing w:before="120" w:after="120" w:line="240" w:lineRule="auto"/>
        <w:jc w:val="center"/>
        <w:rPr>
          <w:b/>
        </w:rPr>
      </w:pPr>
      <w:r w:rsidRPr="00DD3670">
        <w:rPr>
          <w:b/>
          <w:noProof/>
          <w:lang w:val="en-IN" w:eastAsia="en-IN"/>
        </w:rPr>
        <w:lastRenderedPageBreak/>
        <w:drawing>
          <wp:inline distT="0" distB="0" distL="0" distR="0" wp14:anchorId="6ED0583A" wp14:editId="3B993208">
            <wp:extent cx="2520000" cy="2486982"/>
            <wp:effectExtent l="0" t="0" r="0" b="8890"/>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20000" cy="2486982"/>
                    </a:xfrm>
                    <a:prstGeom prst="rect">
                      <a:avLst/>
                    </a:prstGeom>
                    <a:noFill/>
                    <a:ln>
                      <a:noFill/>
                    </a:ln>
                    <a:effectLst/>
                    <a:extLst/>
                  </pic:spPr>
                </pic:pic>
              </a:graphicData>
            </a:graphic>
          </wp:inline>
        </w:drawing>
      </w:r>
    </w:p>
    <w:p w14:paraId="72F7DAED" w14:textId="0FF1AF01" w:rsidR="00433003" w:rsidRPr="00DD3670" w:rsidRDefault="00CD3C71" w:rsidP="000D3C36">
      <w:pPr>
        <w:snapToGrid w:val="0"/>
        <w:spacing w:before="120" w:after="120" w:line="240" w:lineRule="auto"/>
        <w:rPr>
          <w:b/>
        </w:rPr>
      </w:pPr>
      <w:r w:rsidRPr="00DD3670">
        <w:rPr>
          <w:b/>
        </w:rPr>
        <w:t>Fig.</w:t>
      </w:r>
      <w:r w:rsidR="00CF13A9" w:rsidRPr="00DD3670">
        <w:rPr>
          <w:b/>
        </w:rPr>
        <w:t xml:space="preserve"> S</w:t>
      </w:r>
      <w:r w:rsidR="008E4AB6" w:rsidRPr="00DD3670">
        <w:rPr>
          <w:rFonts w:hint="eastAsia"/>
          <w:b/>
        </w:rPr>
        <w:t>1</w:t>
      </w:r>
      <w:r w:rsidR="0032335F" w:rsidRPr="00DD3670">
        <w:rPr>
          <w:rFonts w:hint="eastAsia"/>
          <w:b/>
        </w:rPr>
        <w:t>3</w:t>
      </w:r>
      <w:r w:rsidR="00724294" w:rsidRPr="00DD3670">
        <w:t xml:space="preserve"> </w:t>
      </w:r>
      <w:r w:rsidR="00724294" w:rsidRPr="00DD3670">
        <w:rPr>
          <w:bCs/>
        </w:rPr>
        <w:t>Density functional theory calculation. Crystalline structure and local morphology in (</w:t>
      </w:r>
      <w:r w:rsidR="00724294" w:rsidRPr="00DD3670">
        <w:rPr>
          <w:b/>
          <w:bCs/>
        </w:rPr>
        <w:t>a</w:t>
      </w:r>
      <w:r w:rsidR="00724294" w:rsidRPr="00DD3670">
        <w:rPr>
          <w:bCs/>
        </w:rPr>
        <w:t>) front and (</w:t>
      </w:r>
      <w:r w:rsidR="00724294" w:rsidRPr="00DD3670">
        <w:rPr>
          <w:b/>
          <w:bCs/>
        </w:rPr>
        <w:t>b</w:t>
      </w:r>
      <w:r w:rsidR="00724294" w:rsidRPr="00DD3670">
        <w:rPr>
          <w:bCs/>
        </w:rPr>
        <w:t>) overhead views for LFP-I</w:t>
      </w:r>
    </w:p>
    <w:p w14:paraId="702DBB3E" w14:textId="58FC2C5E" w:rsidR="00433003" w:rsidRPr="00DD3670" w:rsidRDefault="001B48FD" w:rsidP="008E2A4A">
      <w:pPr>
        <w:snapToGrid w:val="0"/>
        <w:spacing w:before="120" w:after="120" w:line="240" w:lineRule="auto"/>
        <w:jc w:val="center"/>
        <w:rPr>
          <w:b/>
        </w:rPr>
      </w:pPr>
      <w:r w:rsidRPr="00DD3670">
        <w:rPr>
          <w:b/>
          <w:noProof/>
          <w:lang w:val="en-IN" w:eastAsia="en-IN"/>
        </w:rPr>
        <w:drawing>
          <wp:inline distT="0" distB="0" distL="0" distR="0" wp14:anchorId="5D3EE505" wp14:editId="1D456207">
            <wp:extent cx="2834573" cy="2292178"/>
            <wp:effectExtent l="0" t="0" r="4445"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45610" cy="2301103"/>
                    </a:xfrm>
                    <a:prstGeom prst="rect">
                      <a:avLst/>
                    </a:prstGeom>
                    <a:noFill/>
                    <a:ln>
                      <a:noFill/>
                    </a:ln>
                    <a:effectLst/>
                    <a:extLst/>
                  </pic:spPr>
                </pic:pic>
              </a:graphicData>
            </a:graphic>
          </wp:inline>
        </w:drawing>
      </w:r>
    </w:p>
    <w:p w14:paraId="11F6190A" w14:textId="7D0F11C6" w:rsidR="00433003" w:rsidRPr="00DD3670" w:rsidRDefault="00CD3C71" w:rsidP="000D3C36">
      <w:pPr>
        <w:autoSpaceDE w:val="0"/>
        <w:autoSpaceDN w:val="0"/>
        <w:adjustRightInd w:val="0"/>
        <w:snapToGrid w:val="0"/>
        <w:spacing w:before="120" w:after="120" w:line="240" w:lineRule="auto"/>
        <w:rPr>
          <w:b/>
        </w:rPr>
      </w:pPr>
      <w:r w:rsidRPr="00DD3670">
        <w:rPr>
          <w:b/>
        </w:rPr>
        <w:t>Fig.</w:t>
      </w:r>
      <w:r w:rsidR="00CF13A9" w:rsidRPr="00DD3670">
        <w:rPr>
          <w:b/>
        </w:rPr>
        <w:t xml:space="preserve"> S</w:t>
      </w:r>
      <w:r w:rsidR="008E4AB6" w:rsidRPr="00DD3670">
        <w:rPr>
          <w:rFonts w:hint="eastAsia"/>
          <w:b/>
        </w:rPr>
        <w:t>1</w:t>
      </w:r>
      <w:r w:rsidR="0032335F" w:rsidRPr="00DD3670">
        <w:rPr>
          <w:rFonts w:hint="eastAsia"/>
          <w:b/>
        </w:rPr>
        <w:t>4</w:t>
      </w:r>
      <w:r w:rsidR="00CF13A9" w:rsidRPr="00DD3670">
        <w:t xml:space="preserve"> </w:t>
      </w:r>
      <w:r w:rsidR="00A65B7B" w:rsidRPr="00DD3670">
        <w:rPr>
          <w:rFonts w:eastAsia="Times New Roman"/>
        </w:rPr>
        <w:t xml:space="preserve">AFM analysis of </w:t>
      </w:r>
      <w:r w:rsidR="00A65B7B" w:rsidRPr="00DD3670">
        <w:rPr>
          <w:rFonts w:eastAsiaTheme="minorEastAsia" w:hint="eastAsia"/>
        </w:rPr>
        <w:t>2</w:t>
      </w:r>
      <w:r w:rsidR="00A65B7B" w:rsidRPr="00DD3670">
        <w:rPr>
          <w:rFonts w:eastAsia="Times New Roman"/>
        </w:rPr>
        <w:t xml:space="preserve">D height image </w:t>
      </w:r>
      <w:r w:rsidR="00724294" w:rsidRPr="00DD3670">
        <w:rPr>
          <w:rFonts w:eastAsiaTheme="minorEastAsia" w:hint="eastAsia"/>
        </w:rPr>
        <w:t>of</w:t>
      </w:r>
      <w:r w:rsidR="00A65B7B" w:rsidRPr="00DD3670">
        <w:rPr>
          <w:rFonts w:eastAsia="Times New Roman"/>
        </w:rPr>
        <w:t xml:space="preserve"> LFP-</w:t>
      </w:r>
      <w:r w:rsidR="00A65B7B" w:rsidRPr="00DD3670">
        <w:rPr>
          <w:rFonts w:eastAsiaTheme="minorEastAsia" w:hint="eastAsia"/>
        </w:rPr>
        <w:t>C</w:t>
      </w:r>
    </w:p>
    <w:p w14:paraId="79B0D75C" w14:textId="77777777" w:rsidR="004F0281" w:rsidRPr="00DD3670" w:rsidRDefault="004F0281" w:rsidP="008E2A4A">
      <w:pPr>
        <w:snapToGrid w:val="0"/>
        <w:spacing w:before="120" w:after="120" w:line="240" w:lineRule="auto"/>
        <w:jc w:val="center"/>
        <w:rPr>
          <w:b/>
        </w:rPr>
      </w:pPr>
    </w:p>
    <w:p w14:paraId="292B4065" w14:textId="23E7887E" w:rsidR="00433003" w:rsidRPr="00DD3670" w:rsidRDefault="001B48FD" w:rsidP="008E2A4A">
      <w:pPr>
        <w:snapToGrid w:val="0"/>
        <w:spacing w:before="120" w:after="120" w:line="240" w:lineRule="auto"/>
        <w:jc w:val="center"/>
        <w:rPr>
          <w:rFonts w:eastAsiaTheme="minorEastAsia"/>
        </w:rPr>
      </w:pPr>
      <w:r w:rsidRPr="00DD3670">
        <w:rPr>
          <w:rFonts w:eastAsiaTheme="minorEastAsia"/>
          <w:noProof/>
          <w:lang w:val="en-IN" w:eastAsia="en-IN"/>
        </w:rPr>
        <w:drawing>
          <wp:inline distT="0" distB="0" distL="0" distR="0" wp14:anchorId="046C0139" wp14:editId="03042B23">
            <wp:extent cx="3101546" cy="2512456"/>
            <wp:effectExtent l="0" t="0" r="0" b="0"/>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06233" cy="2516253"/>
                    </a:xfrm>
                    <a:prstGeom prst="rect">
                      <a:avLst/>
                    </a:prstGeom>
                    <a:noFill/>
                    <a:ln>
                      <a:noFill/>
                    </a:ln>
                    <a:effectLst/>
                    <a:extLst/>
                  </pic:spPr>
                </pic:pic>
              </a:graphicData>
            </a:graphic>
          </wp:inline>
        </w:drawing>
      </w:r>
    </w:p>
    <w:p w14:paraId="437917DE" w14:textId="65098F84" w:rsidR="0032335F" w:rsidRPr="00DD3670" w:rsidRDefault="00CD3C71" w:rsidP="008E2A4A">
      <w:pPr>
        <w:snapToGrid w:val="0"/>
        <w:spacing w:before="120" w:after="120" w:line="240" w:lineRule="auto"/>
        <w:rPr>
          <w:rFonts w:eastAsiaTheme="minorEastAsia"/>
          <w:noProof/>
        </w:rPr>
      </w:pPr>
      <w:r w:rsidRPr="00DD3670">
        <w:rPr>
          <w:b/>
        </w:rPr>
        <w:t>Fig.</w:t>
      </w:r>
      <w:r w:rsidR="00433003" w:rsidRPr="00DD3670">
        <w:rPr>
          <w:b/>
        </w:rPr>
        <w:t xml:space="preserve"> S</w:t>
      </w:r>
      <w:r w:rsidR="00A65B7B" w:rsidRPr="00DD3670">
        <w:rPr>
          <w:rFonts w:hint="eastAsia"/>
          <w:b/>
        </w:rPr>
        <w:t>1</w:t>
      </w:r>
      <w:r w:rsidR="0032335F" w:rsidRPr="00DD3670">
        <w:rPr>
          <w:rFonts w:hint="eastAsia"/>
          <w:b/>
        </w:rPr>
        <w:t>5</w:t>
      </w:r>
      <w:r w:rsidR="00A65B7B" w:rsidRPr="00DD3670">
        <w:t xml:space="preserve"> </w:t>
      </w:r>
      <w:r w:rsidR="00A65B7B" w:rsidRPr="00DD3670">
        <w:rPr>
          <w:rFonts w:eastAsia="Times New Roman"/>
        </w:rPr>
        <w:t xml:space="preserve">AFM analysis of </w:t>
      </w:r>
      <w:r w:rsidR="00A65B7B" w:rsidRPr="00DD3670">
        <w:rPr>
          <w:rFonts w:eastAsiaTheme="minorEastAsia" w:hint="eastAsia"/>
        </w:rPr>
        <w:t>2</w:t>
      </w:r>
      <w:r w:rsidR="00A65B7B" w:rsidRPr="00DD3670">
        <w:rPr>
          <w:rFonts w:eastAsia="Times New Roman"/>
        </w:rPr>
        <w:t xml:space="preserve">D height image </w:t>
      </w:r>
      <w:r w:rsidR="00724294" w:rsidRPr="00DD3670">
        <w:rPr>
          <w:rFonts w:eastAsiaTheme="minorEastAsia" w:hint="eastAsia"/>
        </w:rPr>
        <w:t>of</w:t>
      </w:r>
      <w:r w:rsidR="00A65B7B" w:rsidRPr="00DD3670">
        <w:rPr>
          <w:rFonts w:eastAsia="Times New Roman"/>
        </w:rPr>
        <w:t xml:space="preserve"> LFP-I</w:t>
      </w:r>
      <w:r w:rsidR="00310AF1" w:rsidRPr="00DD3670">
        <w:rPr>
          <w:rFonts w:eastAsiaTheme="minorEastAsia"/>
          <w:noProof/>
        </w:rPr>
        <w:br w:type="page"/>
      </w:r>
    </w:p>
    <w:p w14:paraId="21154A07" w14:textId="77777777" w:rsidR="00123FC5" w:rsidRPr="00DD3670" w:rsidRDefault="00123FC5" w:rsidP="008E2A4A">
      <w:pPr>
        <w:spacing w:before="120" w:after="120" w:line="240" w:lineRule="auto"/>
        <w:jc w:val="center"/>
      </w:pPr>
      <w:r w:rsidRPr="00DD3670">
        <w:rPr>
          <w:noProof/>
          <w:lang w:val="en-IN" w:eastAsia="en-IN"/>
        </w:rPr>
        <w:lastRenderedPageBreak/>
        <w:drawing>
          <wp:inline distT="0" distB="0" distL="0" distR="0" wp14:anchorId="62E23499" wp14:editId="59E0A81B">
            <wp:extent cx="2784807" cy="2332654"/>
            <wp:effectExtent l="0" t="0" r="0"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6529" cy="2334096"/>
                    </a:xfrm>
                    <a:prstGeom prst="rect">
                      <a:avLst/>
                    </a:prstGeom>
                    <a:noFill/>
                    <a:ln>
                      <a:noFill/>
                    </a:ln>
                    <a:effectLst/>
                  </pic:spPr>
                </pic:pic>
              </a:graphicData>
            </a:graphic>
          </wp:inline>
        </w:drawing>
      </w:r>
    </w:p>
    <w:p w14:paraId="48C5AF48" w14:textId="50E05DA6" w:rsidR="00123FC5" w:rsidRPr="00DD3670" w:rsidRDefault="00CD3C71" w:rsidP="008E2A4A">
      <w:pPr>
        <w:snapToGrid w:val="0"/>
        <w:spacing w:before="120" w:after="120" w:line="240" w:lineRule="auto"/>
        <w:rPr>
          <w:rFonts w:eastAsia="Times New Roman"/>
        </w:rPr>
      </w:pPr>
      <w:r w:rsidRPr="00DD3670">
        <w:rPr>
          <w:b/>
        </w:rPr>
        <w:t>Fig.</w:t>
      </w:r>
      <w:r w:rsidR="00123FC5" w:rsidRPr="00DD3670">
        <w:rPr>
          <w:b/>
        </w:rPr>
        <w:t xml:space="preserve"> </w:t>
      </w:r>
      <w:r w:rsidR="00123FC5" w:rsidRPr="00DD3670">
        <w:rPr>
          <w:rFonts w:hint="eastAsia"/>
          <w:b/>
        </w:rPr>
        <w:t>S16</w:t>
      </w:r>
      <w:r w:rsidR="00123FC5" w:rsidRPr="00DD3670">
        <w:rPr>
          <w:b/>
        </w:rPr>
        <w:t xml:space="preserve"> </w:t>
      </w:r>
      <w:r w:rsidR="00123FC5" w:rsidRPr="00DD3670">
        <w:rPr>
          <w:rFonts w:eastAsia="Times New Roman"/>
        </w:rPr>
        <w:t>Fe dissolution of ICP-OES results for LFP-C and LFP-I after 400/</w:t>
      </w:r>
      <w:r w:rsidR="002343A3" w:rsidRPr="00DD3670">
        <w:rPr>
          <w:rFonts w:eastAsiaTheme="minorEastAsia" w:hint="eastAsia"/>
        </w:rPr>
        <w:t>6</w:t>
      </w:r>
      <w:r w:rsidR="000D3C36" w:rsidRPr="00DD3670">
        <w:rPr>
          <w:rFonts w:eastAsia="Times New Roman"/>
        </w:rPr>
        <w:t>50 cycles</w:t>
      </w:r>
    </w:p>
    <w:p w14:paraId="29C77543" w14:textId="760AAE31" w:rsidR="00907C1B" w:rsidRPr="00DD3670" w:rsidRDefault="00907C1B" w:rsidP="000D3C36">
      <w:pPr>
        <w:snapToGrid w:val="0"/>
        <w:spacing w:before="240" w:after="120" w:line="240" w:lineRule="auto"/>
        <w:ind w:firstLineChars="100" w:firstLine="240"/>
        <w:rPr>
          <w:rFonts w:eastAsiaTheme="minorEastAsia"/>
          <w:noProof/>
        </w:rPr>
      </w:pPr>
      <w:r w:rsidRPr="00DD3670">
        <w:rPr>
          <w:rFonts w:eastAsiaTheme="minorEastAsia"/>
          <w:noProof/>
        </w:rPr>
        <w:t>Once Fe ions dissolve from the LFP cathode and migrate to the graphite anode, they can be electrochemically reduced under reductive potentials during charging (Fe</w:t>
      </w:r>
      <w:r w:rsidRPr="00DD3670">
        <w:rPr>
          <w:rFonts w:eastAsiaTheme="minorEastAsia"/>
          <w:noProof/>
          <w:vertAlign w:val="superscript"/>
        </w:rPr>
        <w:t>2+</w:t>
      </w:r>
      <w:r w:rsidRPr="00DD3670">
        <w:rPr>
          <w:rFonts w:eastAsiaTheme="minorEastAsia"/>
          <w:noProof/>
        </w:rPr>
        <w:t xml:space="preserve"> + 2e⁻ </w:t>
      </w:r>
      <w:r w:rsidRPr="00DD3670">
        <w:rPr>
          <w:rFonts w:eastAsiaTheme="minorEastAsia" w:hint="eastAsia"/>
          <w:noProof/>
        </w:rPr>
        <w:t>→</w:t>
      </w:r>
      <w:r w:rsidRPr="00DD3670">
        <w:rPr>
          <w:rFonts w:eastAsiaTheme="minorEastAsia"/>
          <w:noProof/>
        </w:rPr>
        <w:t xml:space="preserve"> Fe</w:t>
      </w:r>
      <w:r w:rsidRPr="00DD3670">
        <w:rPr>
          <w:rFonts w:eastAsiaTheme="minorEastAsia" w:hint="eastAsia"/>
          <w:noProof/>
          <w:vertAlign w:val="superscript"/>
        </w:rPr>
        <w:t>0</w:t>
      </w:r>
      <w:r w:rsidRPr="00DD3670">
        <w:rPr>
          <w:rFonts w:eastAsiaTheme="minorEastAsia"/>
          <w:noProof/>
        </w:rPr>
        <w:t>). The deposition potential of Fe</w:t>
      </w:r>
      <w:r w:rsidRPr="00DD3670">
        <w:rPr>
          <w:rFonts w:eastAsiaTheme="minorEastAsia"/>
          <w:noProof/>
          <w:vertAlign w:val="superscript"/>
        </w:rPr>
        <w:t>2+</w:t>
      </w:r>
      <w:r w:rsidRPr="00DD3670">
        <w:rPr>
          <w:rFonts w:eastAsiaTheme="minorEastAsia"/>
          <w:noProof/>
        </w:rPr>
        <w:t xml:space="preserve"> is close to that of lithium plating, meaning that Fe reduction competes with Li nucleation at the anode surface. This competitive deposition lowers the effective lithium nucleation overpotential and introduces heterogeneous nucleation sites. Localized Fe deposits then disrupt the uniformity of the SEI, induce non-uniform Li</w:t>
      </w:r>
      <w:r w:rsidRPr="00DD3670">
        <w:rPr>
          <w:rFonts w:eastAsiaTheme="minorEastAsia"/>
          <w:noProof/>
          <w:vertAlign w:val="superscript"/>
        </w:rPr>
        <w:t>+</w:t>
      </w:r>
      <w:r w:rsidRPr="00DD3670">
        <w:rPr>
          <w:rFonts w:eastAsiaTheme="minorEastAsia"/>
          <w:noProof/>
        </w:rPr>
        <w:t xml:space="preserve"> flux, and catalyze further electrolyte decomposition.</w:t>
      </w:r>
    </w:p>
    <w:p w14:paraId="3DCF3293" w14:textId="63EA65B4" w:rsidR="00123FC5" w:rsidRPr="00DD3670" w:rsidRDefault="00907C1B" w:rsidP="000D3C36">
      <w:pPr>
        <w:snapToGrid w:val="0"/>
        <w:spacing w:before="240" w:after="120" w:line="240" w:lineRule="auto"/>
        <w:ind w:firstLineChars="100" w:firstLine="240"/>
        <w:rPr>
          <w:rFonts w:eastAsiaTheme="minorEastAsia"/>
          <w:noProof/>
        </w:rPr>
      </w:pPr>
      <w:r w:rsidRPr="00DD3670">
        <w:rPr>
          <w:rFonts w:eastAsiaTheme="minorEastAsia"/>
          <w:noProof/>
        </w:rPr>
        <w:t>In addition, Fe</w:t>
      </w:r>
      <w:r w:rsidRPr="00DD3670">
        <w:rPr>
          <w:rFonts w:eastAsiaTheme="minorEastAsia"/>
          <w:noProof/>
          <w:vertAlign w:val="superscript"/>
        </w:rPr>
        <w:t>3+</w:t>
      </w:r>
      <w:r w:rsidRPr="00DD3670">
        <w:rPr>
          <w:rFonts w:eastAsiaTheme="minorEastAsia"/>
          <w:noProof/>
        </w:rPr>
        <w:t xml:space="preserve"> species can participate in parasitic redox reactions at the SEI/electrolyte interface, generating radical intermediates that accelerate solvent decomposition and destabilize the SEI. Together, these redox processes explain how dissolved Fe species act as both catalytic and structural destabilizers at the negative electrode.</w:t>
      </w:r>
    </w:p>
    <w:p w14:paraId="432F1062" w14:textId="3F41EFA0" w:rsidR="00123FC5" w:rsidRPr="00DD3670" w:rsidRDefault="00123FC5" w:rsidP="000D3C36">
      <w:pPr>
        <w:snapToGrid w:val="0"/>
        <w:spacing w:before="240" w:after="120" w:line="240" w:lineRule="auto"/>
        <w:ind w:firstLineChars="100" w:firstLine="240"/>
        <w:rPr>
          <w:rFonts w:eastAsiaTheme="minorEastAsia"/>
          <w:noProof/>
        </w:rPr>
      </w:pPr>
      <w:r w:rsidRPr="00DD3670">
        <w:rPr>
          <w:rFonts w:eastAsiaTheme="minorEastAsia" w:hint="eastAsia"/>
          <w:noProof/>
        </w:rPr>
        <w:t>The</w:t>
      </w:r>
      <w:r w:rsidRPr="00DD3670">
        <w:rPr>
          <w:rFonts w:eastAsiaTheme="minorEastAsia"/>
          <w:noProof/>
        </w:rPr>
        <w:t xml:space="preserve"> observations with quantitative ICP-OES measurements to provide direct evidence of Fe dissolution and deposition behavior. After 400 cycles, the Fe content deposited on the graphite anode of LFP-C was measured as 35</w:t>
      </w:r>
      <w:r w:rsidR="002343A3" w:rsidRPr="00DD3670">
        <w:rPr>
          <w:rFonts w:eastAsiaTheme="minorEastAsia"/>
          <w:noProof/>
        </w:rPr>
        <w:t>.37 ppm, while it was 20.68 ppm</w:t>
      </w:r>
      <w:r w:rsidRPr="00DD3670">
        <w:rPr>
          <w:rFonts w:eastAsiaTheme="minorEastAsia"/>
          <w:noProof/>
        </w:rPr>
        <w:t xml:space="preserve"> for LFP-I. Specifically, after </w:t>
      </w:r>
      <w:r w:rsidR="002343A3" w:rsidRPr="00DD3670">
        <w:rPr>
          <w:rFonts w:eastAsiaTheme="minorEastAsia" w:hint="eastAsia"/>
          <w:noProof/>
        </w:rPr>
        <w:t>6</w:t>
      </w:r>
      <w:r w:rsidRPr="00DD3670">
        <w:rPr>
          <w:rFonts w:eastAsiaTheme="minorEastAsia"/>
          <w:noProof/>
        </w:rPr>
        <w:t>50 cycles, the dissolved Fe content in the electrolyte of LFP-C was as high as 92.24 ppm, while in LFP-I it was only 28.32 ppm, demonstrating a significant suppression of Fe dissolution in the latter case. These results provide direct quantitative confirmation that Fe dissolution and accumulation are much more severe in LFP-C.</w:t>
      </w:r>
      <w:r w:rsidR="0032335F" w:rsidRPr="00DD3670">
        <w:rPr>
          <w:rFonts w:eastAsiaTheme="minorEastAsia"/>
          <w:noProof/>
        </w:rPr>
        <w:br w:type="page"/>
      </w:r>
    </w:p>
    <w:p w14:paraId="1441AF2C" w14:textId="77777777" w:rsidR="00123FC5" w:rsidRPr="00DD3670" w:rsidRDefault="00123FC5" w:rsidP="008E2A4A">
      <w:pPr>
        <w:spacing w:before="120" w:after="120" w:line="240" w:lineRule="auto"/>
        <w:jc w:val="center"/>
      </w:pPr>
      <w:r w:rsidRPr="00DD3670">
        <w:rPr>
          <w:noProof/>
          <w:lang w:val="en-IN" w:eastAsia="en-IN"/>
        </w:rPr>
        <w:lastRenderedPageBreak/>
        <w:drawing>
          <wp:inline distT="0" distB="0" distL="0" distR="0" wp14:anchorId="451965C3" wp14:editId="704501BC">
            <wp:extent cx="4435972" cy="2749378"/>
            <wp:effectExtent l="0" t="0" r="3175" b="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68898" cy="2769785"/>
                    </a:xfrm>
                    <a:prstGeom prst="rect">
                      <a:avLst/>
                    </a:prstGeom>
                    <a:noFill/>
                    <a:ln>
                      <a:noFill/>
                    </a:ln>
                    <a:effectLst/>
                    <a:extLst/>
                  </pic:spPr>
                </pic:pic>
              </a:graphicData>
            </a:graphic>
          </wp:inline>
        </w:drawing>
      </w:r>
    </w:p>
    <w:p w14:paraId="36E9DEE9" w14:textId="387B74CB" w:rsidR="00123FC5" w:rsidRPr="00DD3670" w:rsidRDefault="00CD3C71" w:rsidP="008E2A4A">
      <w:pPr>
        <w:snapToGrid w:val="0"/>
        <w:spacing w:before="120" w:after="120" w:line="240" w:lineRule="auto"/>
        <w:rPr>
          <w:b/>
        </w:rPr>
      </w:pPr>
      <w:r w:rsidRPr="00DD3670">
        <w:rPr>
          <w:b/>
        </w:rPr>
        <w:t>Fig.</w:t>
      </w:r>
      <w:r w:rsidR="00123FC5" w:rsidRPr="00DD3670">
        <w:rPr>
          <w:b/>
        </w:rPr>
        <w:t xml:space="preserve"> </w:t>
      </w:r>
      <w:r w:rsidR="00123FC5" w:rsidRPr="00DD3670">
        <w:rPr>
          <w:rFonts w:hint="eastAsia"/>
          <w:b/>
        </w:rPr>
        <w:t>S17</w:t>
      </w:r>
      <w:r w:rsidR="00123FC5" w:rsidRPr="00DD3670">
        <w:rPr>
          <w:b/>
        </w:rPr>
        <w:t xml:space="preserve"> </w:t>
      </w:r>
      <w:r w:rsidR="00123FC5" w:rsidRPr="00DD3670">
        <w:rPr>
          <w:rFonts w:eastAsia="Times New Roman"/>
        </w:rPr>
        <w:t>Crystal model for (</w:t>
      </w:r>
      <w:r w:rsidR="00123FC5" w:rsidRPr="00DD3670">
        <w:rPr>
          <w:rFonts w:eastAsia="Times New Roman"/>
          <w:b/>
        </w:rPr>
        <w:t>a</w:t>
      </w:r>
      <w:r w:rsidR="00123FC5" w:rsidRPr="00DD3670">
        <w:rPr>
          <w:rFonts w:eastAsia="Times New Roman"/>
        </w:rPr>
        <w:t>) LFP-C and (</w:t>
      </w:r>
      <w:r w:rsidR="00123FC5" w:rsidRPr="00DD3670">
        <w:rPr>
          <w:rFonts w:eastAsia="Times New Roman"/>
          <w:b/>
        </w:rPr>
        <w:t>b</w:t>
      </w:r>
      <w:r w:rsidR="00123FC5" w:rsidRPr="00DD3670">
        <w:rPr>
          <w:rFonts w:eastAsia="Times New Roman"/>
        </w:rPr>
        <w:t>) LFP-I on the anode electrode side; (</w:t>
      </w:r>
      <w:r w:rsidR="00123FC5" w:rsidRPr="00DD3670">
        <w:rPr>
          <w:rFonts w:eastAsia="Times New Roman"/>
          <w:b/>
        </w:rPr>
        <w:t>c</w:t>
      </w:r>
      <w:r w:rsidR="00123FC5" w:rsidRPr="00DD3670">
        <w:rPr>
          <w:rFonts w:eastAsia="Times New Roman"/>
        </w:rPr>
        <w:t>) Li adsorption energy; (</w:t>
      </w:r>
      <w:r w:rsidR="00123FC5" w:rsidRPr="00DD3670">
        <w:rPr>
          <w:rFonts w:eastAsia="Times New Roman"/>
          <w:b/>
        </w:rPr>
        <w:t>d</w:t>
      </w:r>
      <w:r w:rsidR="00123FC5" w:rsidRPr="00DD3670">
        <w:rPr>
          <w:rFonts w:eastAsia="Times New Roman"/>
        </w:rPr>
        <w:t>) Li /C separation work</w:t>
      </w:r>
    </w:p>
    <w:p w14:paraId="690D6D82" w14:textId="73B59E9E" w:rsidR="00123FC5" w:rsidRPr="00DD3670" w:rsidRDefault="00EE508D" w:rsidP="000D3C36">
      <w:pPr>
        <w:snapToGrid w:val="0"/>
        <w:spacing w:before="240" w:after="120" w:line="240" w:lineRule="auto"/>
        <w:ind w:firstLineChars="100" w:firstLine="240"/>
        <w:rPr>
          <w:rFonts w:eastAsiaTheme="minorEastAsia"/>
          <w:noProof/>
        </w:rPr>
      </w:pPr>
      <w:r w:rsidRPr="00DD3670">
        <w:rPr>
          <w:rFonts w:eastAsiaTheme="minorEastAsia" w:hint="eastAsia"/>
          <w:noProof/>
        </w:rPr>
        <w:t>T</w:t>
      </w:r>
      <w:r w:rsidR="00123FC5" w:rsidRPr="00DD3670">
        <w:rPr>
          <w:rFonts w:eastAsiaTheme="minorEastAsia"/>
          <w:noProof/>
        </w:rPr>
        <w:t>heoretical calculations assess</w:t>
      </w:r>
      <w:r w:rsidRPr="00DD3670">
        <w:rPr>
          <w:rFonts w:eastAsiaTheme="minorEastAsia" w:hint="eastAsia"/>
          <w:noProof/>
        </w:rPr>
        <w:t>ed</w:t>
      </w:r>
      <w:r w:rsidR="00123FC5" w:rsidRPr="00DD3670">
        <w:rPr>
          <w:rFonts w:eastAsiaTheme="minorEastAsia"/>
          <w:noProof/>
        </w:rPr>
        <w:t xml:space="preserve"> the interfacial binding characteristics. The lithium ion adsorption energy of LFP-I is higher than those of LFP-C, thereby accelerating the migration rate of Li+ ions at the interface. There are more defects at the LFP-C interface, which significantly affects the Li</w:t>
      </w:r>
      <w:r w:rsidR="00123FC5" w:rsidRPr="00DD3670">
        <w:rPr>
          <w:rFonts w:eastAsiaTheme="minorEastAsia"/>
          <w:noProof/>
          <w:vertAlign w:val="superscript"/>
        </w:rPr>
        <w:t>+</w:t>
      </w:r>
      <w:r w:rsidR="00123FC5" w:rsidRPr="00DD3670">
        <w:rPr>
          <w:rFonts w:eastAsiaTheme="minorEastAsia"/>
          <w:noProof/>
        </w:rPr>
        <w:t xml:space="preserve"> migration path, resulting in the loss of active Li. The separation work is also known as the adhesion work. The larger the value of the separation work, the stronger the interfacial binding ability. LFP-C binds lithium ions more firmly, indicating that higher energy is required for lithium lithiation/delithiation, resulting in a deterioration of performance. Furthermore, the structure of LFP-I is more ordered, LFP-I presents a more open framework, which is conducive to rapid lithiation/delithiation.</w:t>
      </w:r>
    </w:p>
    <w:p w14:paraId="6C358A20" w14:textId="77777777" w:rsidR="00EE508D" w:rsidRPr="00DD3670" w:rsidRDefault="00EE508D" w:rsidP="008E2A4A">
      <w:pPr>
        <w:spacing w:before="120" w:after="120" w:line="240" w:lineRule="auto"/>
        <w:jc w:val="center"/>
      </w:pPr>
      <w:r w:rsidRPr="00DD3670">
        <w:rPr>
          <w:noProof/>
          <w:lang w:val="en-IN" w:eastAsia="en-IN"/>
        </w:rPr>
        <w:drawing>
          <wp:inline distT="0" distB="0" distL="0" distR="0" wp14:anchorId="03A8BE1F" wp14:editId="43AD3B57">
            <wp:extent cx="4524927" cy="3015048"/>
            <wp:effectExtent l="0" t="0" r="9525"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7202" cy="3049880"/>
                    </a:xfrm>
                    <a:prstGeom prst="rect">
                      <a:avLst/>
                    </a:prstGeom>
                    <a:noFill/>
                    <a:ln>
                      <a:noFill/>
                    </a:ln>
                    <a:effectLst/>
                    <a:extLst/>
                  </pic:spPr>
                </pic:pic>
              </a:graphicData>
            </a:graphic>
          </wp:inline>
        </w:drawing>
      </w:r>
    </w:p>
    <w:p w14:paraId="5D00D2ED" w14:textId="0F9FF4D9" w:rsidR="00EE508D" w:rsidRPr="00DD3670" w:rsidRDefault="00CD3C71" w:rsidP="008E2A4A">
      <w:pPr>
        <w:snapToGrid w:val="0"/>
        <w:spacing w:before="120" w:after="120" w:line="240" w:lineRule="auto"/>
      </w:pPr>
      <w:r w:rsidRPr="00DD3670">
        <w:rPr>
          <w:b/>
        </w:rPr>
        <w:t>Fig.</w:t>
      </w:r>
      <w:r w:rsidR="00EE508D" w:rsidRPr="00DD3670">
        <w:rPr>
          <w:b/>
        </w:rPr>
        <w:t xml:space="preserve"> </w:t>
      </w:r>
      <w:r w:rsidR="00EE508D" w:rsidRPr="00DD3670">
        <w:rPr>
          <w:rFonts w:hint="eastAsia"/>
          <w:b/>
        </w:rPr>
        <w:t>S18</w:t>
      </w:r>
      <w:r w:rsidR="00EE508D" w:rsidRPr="00DD3670">
        <w:rPr>
          <w:b/>
        </w:rPr>
        <w:t xml:space="preserve"> </w:t>
      </w:r>
      <w:r w:rsidR="00EE508D" w:rsidRPr="00DD3670">
        <w:t>Crystal model for (</w:t>
      </w:r>
      <w:r w:rsidR="00EE508D" w:rsidRPr="00DD3670">
        <w:rPr>
          <w:b/>
        </w:rPr>
        <w:t>a</w:t>
      </w:r>
      <w:r w:rsidR="00EE508D" w:rsidRPr="00DD3670">
        <w:t>) LFP-C and (</w:t>
      </w:r>
      <w:r w:rsidR="00EE508D" w:rsidRPr="00DD3670">
        <w:rPr>
          <w:b/>
        </w:rPr>
        <w:t>b</w:t>
      </w:r>
      <w:r w:rsidR="00EE508D" w:rsidRPr="00DD3670">
        <w:t>) LFP-I on the anode electrode side; (</w:t>
      </w:r>
      <w:r w:rsidR="00EE508D" w:rsidRPr="00DD3670">
        <w:rPr>
          <w:b/>
        </w:rPr>
        <w:t>c</w:t>
      </w:r>
      <w:r w:rsidR="00EE508D" w:rsidRPr="00DD3670">
        <w:t>) Fe adsorption energy; (</w:t>
      </w:r>
      <w:r w:rsidR="00EE508D" w:rsidRPr="00DD3670">
        <w:rPr>
          <w:b/>
        </w:rPr>
        <w:t>d</w:t>
      </w:r>
      <w:r w:rsidR="00EE508D" w:rsidRPr="00DD3670">
        <w:t>) Fe/C separation work</w:t>
      </w:r>
    </w:p>
    <w:p w14:paraId="3BDEFD68" w14:textId="509EF46C" w:rsidR="000D3C36" w:rsidRPr="00DD3670" w:rsidRDefault="00123FC5" w:rsidP="000D3C36">
      <w:pPr>
        <w:snapToGrid w:val="0"/>
        <w:spacing w:before="120" w:after="120" w:line="240" w:lineRule="auto"/>
        <w:ind w:firstLineChars="100" w:firstLine="240"/>
        <w:rPr>
          <w:rFonts w:eastAsia="DengXian"/>
        </w:rPr>
      </w:pPr>
      <w:r w:rsidRPr="00DD3670">
        <w:rPr>
          <w:rFonts w:eastAsiaTheme="minorEastAsia"/>
          <w:noProof/>
        </w:rPr>
        <w:lastRenderedPageBreak/>
        <w:t xml:space="preserve">The adsorption energy of Fe on the carbon substrate is higher in LFP-C, which means that Fe atoms are more strongly retained on the graphite anode surface. This strong binding leads to more persistent Fe deposition, resulting in local inhomogeneity, hindered lithium-ion transport, and accelerated electrode degradation. By contrast, the lower adsorption energy in LFP-I reflects weaker Fe–C interfacial binding, which is consistent with easier detachment of Fe species and the absence of excessive accumulation at the anode surface. This weaker interaction is also associated with a more open and uniform interfacial structure, which facilitates lithium-ion migration and contributes to improved electrochemical stability. Meanwhile, the LFP-C has a high separation work and requires more energy to separate Fe from the carbon interface. This further proves that Fe dissolves on the cathode electrode side and is difficult to detach from the anode electrode for LFP-C. This is obviously not conducive to electron conduction and causes the electrode to damage. The separation work of LFP-I is low and the interfacial binding is weak, which may provide a more flexible interfacial lithium-ion transport channel. </w:t>
      </w:r>
    </w:p>
    <w:p w14:paraId="3849461D" w14:textId="765C856E" w:rsidR="00320802"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5677C0E0" wp14:editId="40B98F75">
            <wp:extent cx="4361935" cy="2479842"/>
            <wp:effectExtent l="0" t="0" r="635"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72430" cy="2485808"/>
                    </a:xfrm>
                    <a:prstGeom prst="rect">
                      <a:avLst/>
                    </a:prstGeom>
                    <a:noFill/>
                    <a:ln>
                      <a:noFill/>
                    </a:ln>
                    <a:effectLst/>
                    <a:extLst/>
                  </pic:spPr>
                </pic:pic>
              </a:graphicData>
            </a:graphic>
          </wp:inline>
        </w:drawing>
      </w:r>
    </w:p>
    <w:p w14:paraId="44E92755" w14:textId="4E09220F" w:rsidR="00320802" w:rsidRPr="00DD3670" w:rsidRDefault="00CD3C71" w:rsidP="000D3C36">
      <w:pPr>
        <w:snapToGrid w:val="0"/>
        <w:spacing w:before="120" w:after="120" w:line="240" w:lineRule="auto"/>
        <w:jc w:val="left"/>
        <w:rPr>
          <w:rFonts w:eastAsia="DengXian"/>
          <w:bCs/>
        </w:rPr>
      </w:pPr>
      <w:r w:rsidRPr="00DD3670">
        <w:rPr>
          <w:b/>
        </w:rPr>
        <w:t>Fig.</w:t>
      </w:r>
      <w:r w:rsidR="00320802" w:rsidRPr="00DD3670">
        <w:rPr>
          <w:b/>
        </w:rPr>
        <w:t xml:space="preserve"> S</w:t>
      </w:r>
      <w:r w:rsidR="00320802" w:rsidRPr="00DD3670">
        <w:rPr>
          <w:rFonts w:hint="eastAsia"/>
          <w:b/>
        </w:rPr>
        <w:t>1</w:t>
      </w:r>
      <w:r w:rsidR="00EE508D" w:rsidRPr="00DD3670">
        <w:rPr>
          <w:rFonts w:hint="eastAsia"/>
          <w:b/>
        </w:rPr>
        <w:t>9</w:t>
      </w:r>
      <w:r w:rsidR="00320802" w:rsidRPr="00DD3670">
        <w:rPr>
          <w:rFonts w:eastAsia="DengXian"/>
          <w:b/>
        </w:rPr>
        <w:t xml:space="preserve"> </w:t>
      </w:r>
      <w:r w:rsidR="00724294" w:rsidRPr="00DD3670">
        <w:rPr>
          <w:rFonts w:eastAsia="DengXian"/>
          <w:bCs/>
        </w:rPr>
        <w:t>The stress simulation diagram of LFP-C for (</w:t>
      </w:r>
      <w:r w:rsidR="00724294" w:rsidRPr="00DD3670">
        <w:rPr>
          <w:rFonts w:eastAsia="DengXian"/>
          <w:b/>
          <w:bCs/>
        </w:rPr>
        <w:t>a</w:t>
      </w:r>
      <w:r w:rsidR="00724294" w:rsidRPr="00DD3670">
        <w:rPr>
          <w:rFonts w:eastAsia="DengXian"/>
          <w:bCs/>
        </w:rPr>
        <w:t>) charging progress and (</w:t>
      </w:r>
      <w:r w:rsidR="00724294" w:rsidRPr="00DD3670">
        <w:rPr>
          <w:rFonts w:eastAsia="DengXian"/>
          <w:b/>
          <w:bCs/>
        </w:rPr>
        <w:t>b</w:t>
      </w:r>
      <w:r w:rsidR="00724294" w:rsidRPr="00DD3670">
        <w:rPr>
          <w:rFonts w:eastAsia="DengXian"/>
          <w:bCs/>
        </w:rPr>
        <w:t>) disc</w:t>
      </w:r>
      <w:r w:rsidR="000D3C36" w:rsidRPr="00DD3670">
        <w:rPr>
          <w:rFonts w:eastAsia="DengXian"/>
          <w:bCs/>
        </w:rPr>
        <w:t>harging progress at the cathode</w:t>
      </w:r>
    </w:p>
    <w:p w14:paraId="4A90E5EE" w14:textId="761ED9BB" w:rsidR="00320802"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1893CB8E" wp14:editId="178E7032">
            <wp:extent cx="4411362" cy="2573294"/>
            <wp:effectExtent l="0" t="0" r="8255"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30998" cy="2584748"/>
                    </a:xfrm>
                    <a:prstGeom prst="rect">
                      <a:avLst/>
                    </a:prstGeom>
                    <a:noFill/>
                    <a:ln>
                      <a:noFill/>
                    </a:ln>
                    <a:effectLst/>
                    <a:extLst/>
                  </pic:spPr>
                </pic:pic>
              </a:graphicData>
            </a:graphic>
          </wp:inline>
        </w:drawing>
      </w:r>
    </w:p>
    <w:p w14:paraId="3F96BB46" w14:textId="7CDEDF93" w:rsidR="00320802" w:rsidRPr="00DD3670" w:rsidRDefault="00CD3C71" w:rsidP="000D3C36">
      <w:pPr>
        <w:snapToGrid w:val="0"/>
        <w:spacing w:before="120" w:after="120" w:line="240" w:lineRule="auto"/>
        <w:jc w:val="left"/>
        <w:rPr>
          <w:rFonts w:eastAsia="DengXian"/>
          <w:bCs/>
        </w:rPr>
      </w:pPr>
      <w:r w:rsidRPr="00DD3670">
        <w:rPr>
          <w:b/>
        </w:rPr>
        <w:t>Fig.</w:t>
      </w:r>
      <w:r w:rsidR="00320802" w:rsidRPr="00DD3670">
        <w:rPr>
          <w:b/>
        </w:rPr>
        <w:t xml:space="preserve"> S</w:t>
      </w:r>
      <w:r w:rsidR="00EE508D" w:rsidRPr="00DD3670">
        <w:rPr>
          <w:rFonts w:hint="eastAsia"/>
          <w:b/>
        </w:rPr>
        <w:t>20</w:t>
      </w:r>
      <w:r w:rsidR="00320802" w:rsidRPr="00DD3670">
        <w:rPr>
          <w:rFonts w:eastAsia="DengXian"/>
          <w:b/>
        </w:rPr>
        <w:t xml:space="preserve"> </w:t>
      </w:r>
      <w:r w:rsidR="00724294" w:rsidRPr="00DD3670">
        <w:rPr>
          <w:rFonts w:eastAsia="DengXian"/>
          <w:bCs/>
        </w:rPr>
        <w:t>The stress simulation diagram of LFP-I for (</w:t>
      </w:r>
      <w:r w:rsidR="00724294" w:rsidRPr="00DD3670">
        <w:rPr>
          <w:rFonts w:eastAsia="DengXian"/>
          <w:b/>
          <w:bCs/>
        </w:rPr>
        <w:t>a</w:t>
      </w:r>
      <w:r w:rsidR="00724294" w:rsidRPr="00DD3670">
        <w:rPr>
          <w:rFonts w:eastAsia="DengXian"/>
          <w:bCs/>
        </w:rPr>
        <w:t>) charging progress and (</w:t>
      </w:r>
      <w:r w:rsidR="00724294" w:rsidRPr="00DD3670">
        <w:rPr>
          <w:rFonts w:eastAsia="DengXian"/>
          <w:b/>
          <w:bCs/>
        </w:rPr>
        <w:t>b</w:t>
      </w:r>
      <w:r w:rsidR="00724294" w:rsidRPr="00DD3670">
        <w:rPr>
          <w:rFonts w:eastAsia="DengXian"/>
          <w:bCs/>
        </w:rPr>
        <w:t>) disc</w:t>
      </w:r>
      <w:r w:rsidR="000D3C36" w:rsidRPr="00DD3670">
        <w:rPr>
          <w:rFonts w:eastAsia="DengXian"/>
          <w:bCs/>
        </w:rPr>
        <w:t>harging progress at the cathode</w:t>
      </w:r>
      <w:r w:rsidR="00320802" w:rsidRPr="00DD3670">
        <w:rPr>
          <w:rFonts w:eastAsia="DengXian"/>
          <w:bCs/>
        </w:rPr>
        <w:br w:type="page"/>
      </w:r>
    </w:p>
    <w:p w14:paraId="19984079" w14:textId="5155E278" w:rsidR="00320802"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lastRenderedPageBreak/>
        <w:drawing>
          <wp:inline distT="0" distB="0" distL="0" distR="0" wp14:anchorId="66DDF533" wp14:editId="6C149D09">
            <wp:extent cx="1566863" cy="21272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66863" cy="21272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13C3A1AD" w14:textId="44F3895C" w:rsidR="00320802" w:rsidRPr="00DD3670" w:rsidRDefault="00CD3C71" w:rsidP="000D3C36">
      <w:pPr>
        <w:snapToGrid w:val="0"/>
        <w:spacing w:before="120" w:after="120" w:line="240" w:lineRule="auto"/>
        <w:jc w:val="left"/>
        <w:rPr>
          <w:rFonts w:eastAsia="DengXian"/>
          <w:bCs/>
        </w:rPr>
      </w:pPr>
      <w:r w:rsidRPr="00DD3670">
        <w:rPr>
          <w:b/>
        </w:rPr>
        <w:t>Fig.</w:t>
      </w:r>
      <w:r w:rsidR="00320802" w:rsidRPr="00DD3670">
        <w:rPr>
          <w:b/>
        </w:rPr>
        <w:t xml:space="preserve"> S</w:t>
      </w:r>
      <w:r w:rsidR="00EE508D" w:rsidRPr="00DD3670">
        <w:rPr>
          <w:rFonts w:hint="eastAsia"/>
          <w:b/>
        </w:rPr>
        <w:t>21</w:t>
      </w:r>
      <w:r w:rsidR="00320802" w:rsidRPr="00DD3670">
        <w:rPr>
          <w:rFonts w:eastAsia="DengXian"/>
          <w:b/>
        </w:rPr>
        <w:t xml:space="preserve"> </w:t>
      </w:r>
      <w:r w:rsidR="00724294" w:rsidRPr="00DD3670">
        <w:rPr>
          <w:rFonts w:eastAsia="DengXian"/>
          <w:bCs/>
        </w:rPr>
        <w:t xml:space="preserve">Current density of the LFP-C for </w:t>
      </w:r>
      <w:r w:rsidR="00310784" w:rsidRPr="00DD3670">
        <w:rPr>
          <w:rFonts w:eastAsia="DengXian" w:hint="eastAsia"/>
          <w:bCs/>
        </w:rPr>
        <w:t>DOC</w:t>
      </w:r>
      <w:r w:rsidR="00310784" w:rsidRPr="00DD3670">
        <w:rPr>
          <w:rFonts w:eastAsia="DengXian"/>
          <w:bCs/>
        </w:rPr>
        <w:t xml:space="preserve"> =0</w:t>
      </w:r>
      <w:r w:rsidR="000D3C36" w:rsidRPr="00DD3670">
        <w:rPr>
          <w:rFonts w:eastAsia="DengXian"/>
          <w:bCs/>
        </w:rPr>
        <w:t xml:space="preserve"> in the cathode</w:t>
      </w:r>
    </w:p>
    <w:p w14:paraId="483A8996" w14:textId="5C461EA2" w:rsidR="00320802"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0912032C" wp14:editId="13106C0E">
            <wp:extent cx="1566863" cy="2127250"/>
            <wp:effectExtent l="0" t="0" r="0" b="0"/>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66863" cy="21272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12C4B06A" w14:textId="0F210EFB" w:rsidR="00320802" w:rsidRPr="00DD3670" w:rsidRDefault="00CD3C71" w:rsidP="000D3C36">
      <w:pPr>
        <w:snapToGrid w:val="0"/>
        <w:spacing w:before="120" w:after="120" w:line="240" w:lineRule="auto"/>
        <w:jc w:val="left"/>
        <w:rPr>
          <w:rFonts w:eastAsia="DengXian"/>
          <w:bCs/>
        </w:rPr>
      </w:pPr>
      <w:r w:rsidRPr="00DD3670">
        <w:rPr>
          <w:b/>
        </w:rPr>
        <w:t>Fig.</w:t>
      </w:r>
      <w:r w:rsidR="00320802" w:rsidRPr="00DD3670">
        <w:rPr>
          <w:b/>
        </w:rPr>
        <w:t xml:space="preserve"> S</w:t>
      </w:r>
      <w:r w:rsidR="00EE508D" w:rsidRPr="00DD3670">
        <w:rPr>
          <w:rFonts w:hint="eastAsia"/>
          <w:b/>
        </w:rPr>
        <w:t>22</w:t>
      </w:r>
      <w:r w:rsidR="00320802" w:rsidRPr="00DD3670">
        <w:rPr>
          <w:rFonts w:eastAsia="DengXian"/>
          <w:b/>
        </w:rPr>
        <w:t xml:space="preserve"> </w:t>
      </w:r>
      <w:r w:rsidR="00724294" w:rsidRPr="00DD3670">
        <w:rPr>
          <w:rFonts w:eastAsia="DengXian"/>
          <w:bCs/>
        </w:rPr>
        <w:t xml:space="preserve">Current density of LFP-I for </w:t>
      </w:r>
      <w:r w:rsidR="00310784" w:rsidRPr="00DD3670">
        <w:rPr>
          <w:rFonts w:eastAsia="DengXian" w:hint="eastAsia"/>
          <w:bCs/>
        </w:rPr>
        <w:t>DOC</w:t>
      </w:r>
      <w:r w:rsidR="00310784" w:rsidRPr="00DD3670">
        <w:rPr>
          <w:rFonts w:eastAsia="DengXian"/>
          <w:bCs/>
        </w:rPr>
        <w:t xml:space="preserve"> =0</w:t>
      </w:r>
      <w:r w:rsidR="000D3C36" w:rsidRPr="00DD3670">
        <w:rPr>
          <w:rFonts w:eastAsia="DengXian"/>
          <w:bCs/>
        </w:rPr>
        <w:t xml:space="preserve"> in the cathode</w:t>
      </w:r>
    </w:p>
    <w:p w14:paraId="024869F6" w14:textId="77777777" w:rsidR="000D3C36" w:rsidRPr="00DD3670" w:rsidRDefault="000D3C36" w:rsidP="000D3C36">
      <w:pPr>
        <w:snapToGrid w:val="0"/>
        <w:spacing w:before="120" w:after="120" w:line="240" w:lineRule="auto"/>
        <w:jc w:val="left"/>
        <w:rPr>
          <w:rFonts w:eastAsia="DengXian"/>
          <w:bCs/>
        </w:rPr>
      </w:pPr>
    </w:p>
    <w:p w14:paraId="3092F797" w14:textId="600F157B" w:rsidR="00320802"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3DB80219" wp14:editId="12374760">
            <wp:extent cx="5274310" cy="3082785"/>
            <wp:effectExtent l="0" t="0" r="2540" b="381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4310" cy="3082785"/>
                    </a:xfrm>
                    <a:prstGeom prst="rect">
                      <a:avLst/>
                    </a:prstGeom>
                    <a:noFill/>
                    <a:ln>
                      <a:noFill/>
                    </a:ln>
                    <a:effectLst/>
                    <a:extLst/>
                  </pic:spPr>
                </pic:pic>
              </a:graphicData>
            </a:graphic>
          </wp:inline>
        </w:drawing>
      </w:r>
    </w:p>
    <w:p w14:paraId="1EB087C9" w14:textId="684BC609" w:rsidR="00320802" w:rsidRPr="00DD3670" w:rsidRDefault="00CD3C71" w:rsidP="000D3C36">
      <w:pPr>
        <w:snapToGrid w:val="0"/>
        <w:spacing w:before="120" w:after="120" w:line="240" w:lineRule="auto"/>
        <w:jc w:val="left"/>
        <w:rPr>
          <w:rFonts w:eastAsia="DengXian"/>
          <w:bCs/>
        </w:rPr>
      </w:pPr>
      <w:r w:rsidRPr="00DD3670">
        <w:rPr>
          <w:b/>
        </w:rPr>
        <w:t>Fig.</w:t>
      </w:r>
      <w:r w:rsidR="00320802" w:rsidRPr="00DD3670">
        <w:rPr>
          <w:b/>
        </w:rPr>
        <w:t xml:space="preserve"> S</w:t>
      </w:r>
      <w:r w:rsidR="00EE508D" w:rsidRPr="00DD3670">
        <w:rPr>
          <w:rFonts w:hint="eastAsia"/>
          <w:b/>
        </w:rPr>
        <w:t>23</w:t>
      </w:r>
      <w:r w:rsidR="00320802" w:rsidRPr="00DD3670">
        <w:rPr>
          <w:rFonts w:eastAsia="DengXian"/>
          <w:b/>
        </w:rPr>
        <w:t xml:space="preserve"> </w:t>
      </w:r>
      <w:r w:rsidR="00724294" w:rsidRPr="00DD3670">
        <w:rPr>
          <w:rFonts w:eastAsia="DengXian"/>
          <w:bCs/>
        </w:rPr>
        <w:t>The stress simulation diagram of LFP-C for (</w:t>
      </w:r>
      <w:r w:rsidR="00724294" w:rsidRPr="00DD3670">
        <w:rPr>
          <w:rFonts w:eastAsia="DengXian"/>
          <w:b/>
          <w:bCs/>
        </w:rPr>
        <w:t>a</w:t>
      </w:r>
      <w:r w:rsidR="00724294" w:rsidRPr="00DD3670">
        <w:rPr>
          <w:rFonts w:eastAsia="DengXian"/>
          <w:bCs/>
        </w:rPr>
        <w:t>) charging progress and (</w:t>
      </w:r>
      <w:r w:rsidR="00724294" w:rsidRPr="00DD3670">
        <w:rPr>
          <w:rFonts w:eastAsia="DengXian"/>
          <w:b/>
          <w:bCs/>
        </w:rPr>
        <w:t>b</w:t>
      </w:r>
      <w:r w:rsidR="00724294" w:rsidRPr="00DD3670">
        <w:rPr>
          <w:rFonts w:eastAsia="DengXian"/>
          <w:bCs/>
        </w:rPr>
        <w:t>) di</w:t>
      </w:r>
      <w:r w:rsidR="000D3C36" w:rsidRPr="00DD3670">
        <w:rPr>
          <w:rFonts w:eastAsia="DengXian"/>
          <w:bCs/>
        </w:rPr>
        <w:t>scharging progress in the anode</w:t>
      </w:r>
      <w:r w:rsidR="00320802" w:rsidRPr="00DD3670">
        <w:rPr>
          <w:rFonts w:eastAsia="DengXian"/>
          <w:bCs/>
        </w:rPr>
        <w:br w:type="page"/>
      </w:r>
    </w:p>
    <w:p w14:paraId="4408E34A" w14:textId="77777777" w:rsidR="00320802" w:rsidRPr="00DD3670" w:rsidRDefault="00320802" w:rsidP="008E2A4A">
      <w:pPr>
        <w:snapToGrid w:val="0"/>
        <w:spacing w:before="120" w:after="120" w:line="240" w:lineRule="auto"/>
        <w:jc w:val="center"/>
        <w:rPr>
          <w:rFonts w:eastAsia="DengXian"/>
          <w:bCs/>
        </w:rPr>
      </w:pPr>
    </w:p>
    <w:p w14:paraId="09B2759C" w14:textId="59535CC8" w:rsidR="00320802"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6E1B39B3" wp14:editId="74D9BAB6">
            <wp:extent cx="5274310" cy="3040664"/>
            <wp:effectExtent l="0" t="0" r="2540" b="762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74310" cy="3040664"/>
                    </a:xfrm>
                    <a:prstGeom prst="rect">
                      <a:avLst/>
                    </a:prstGeom>
                    <a:noFill/>
                    <a:ln>
                      <a:noFill/>
                    </a:ln>
                    <a:effectLst/>
                    <a:extLst/>
                  </pic:spPr>
                </pic:pic>
              </a:graphicData>
            </a:graphic>
          </wp:inline>
        </w:drawing>
      </w:r>
    </w:p>
    <w:p w14:paraId="4CD42F97" w14:textId="5BE56456" w:rsidR="00320802" w:rsidRPr="00DD3670" w:rsidRDefault="00CD3C71" w:rsidP="000D3C36">
      <w:pPr>
        <w:snapToGrid w:val="0"/>
        <w:spacing w:before="120" w:after="120" w:line="240" w:lineRule="auto"/>
        <w:jc w:val="left"/>
        <w:rPr>
          <w:rFonts w:eastAsia="DengXian"/>
          <w:bCs/>
        </w:rPr>
      </w:pPr>
      <w:r w:rsidRPr="00DD3670">
        <w:rPr>
          <w:b/>
        </w:rPr>
        <w:t>Fig.</w:t>
      </w:r>
      <w:r w:rsidR="00320802" w:rsidRPr="00DD3670">
        <w:rPr>
          <w:b/>
        </w:rPr>
        <w:t xml:space="preserve"> S</w:t>
      </w:r>
      <w:r w:rsidR="00EE508D" w:rsidRPr="00DD3670">
        <w:rPr>
          <w:rFonts w:hint="eastAsia"/>
          <w:b/>
        </w:rPr>
        <w:t>24</w:t>
      </w:r>
      <w:r w:rsidR="00320802" w:rsidRPr="00DD3670">
        <w:rPr>
          <w:rFonts w:eastAsia="DengXian"/>
          <w:b/>
        </w:rPr>
        <w:t xml:space="preserve"> </w:t>
      </w:r>
      <w:r w:rsidR="00724294" w:rsidRPr="00DD3670">
        <w:rPr>
          <w:rFonts w:eastAsia="DengXian"/>
          <w:bCs/>
        </w:rPr>
        <w:t>The stress simulation diagram of LFP-I for (</w:t>
      </w:r>
      <w:r w:rsidR="00724294" w:rsidRPr="00DD3670">
        <w:rPr>
          <w:rFonts w:eastAsia="DengXian"/>
          <w:b/>
          <w:bCs/>
        </w:rPr>
        <w:t>a</w:t>
      </w:r>
      <w:r w:rsidR="00724294" w:rsidRPr="00DD3670">
        <w:rPr>
          <w:rFonts w:eastAsia="DengXian"/>
          <w:bCs/>
        </w:rPr>
        <w:t>) charging progress and (</w:t>
      </w:r>
      <w:r w:rsidR="00724294" w:rsidRPr="00DD3670">
        <w:rPr>
          <w:rFonts w:eastAsia="DengXian"/>
          <w:b/>
          <w:bCs/>
        </w:rPr>
        <w:t>b</w:t>
      </w:r>
      <w:r w:rsidR="00724294" w:rsidRPr="00DD3670">
        <w:rPr>
          <w:rFonts w:eastAsia="DengXian"/>
          <w:bCs/>
        </w:rPr>
        <w:t>) di</w:t>
      </w:r>
      <w:r w:rsidR="000D3C36" w:rsidRPr="00DD3670">
        <w:rPr>
          <w:rFonts w:eastAsia="DengXian"/>
          <w:bCs/>
        </w:rPr>
        <w:t>scharging progress in the anode</w:t>
      </w:r>
    </w:p>
    <w:p w14:paraId="4DDB8913" w14:textId="5D3327F3" w:rsidR="00A65B7B" w:rsidRPr="00DD3670" w:rsidRDefault="00310784" w:rsidP="008E2A4A">
      <w:pPr>
        <w:snapToGrid w:val="0"/>
        <w:spacing w:before="120" w:after="120" w:line="240" w:lineRule="auto"/>
        <w:jc w:val="center"/>
        <w:rPr>
          <w:rFonts w:eastAsia="DengXian"/>
          <w:bCs/>
        </w:rPr>
      </w:pPr>
      <w:r w:rsidRPr="00DD3670">
        <w:rPr>
          <w:rFonts w:eastAsia="DengXian"/>
          <w:bCs/>
          <w:noProof/>
          <w:lang w:val="en-IN" w:eastAsia="en-IN"/>
        </w:rPr>
        <w:drawing>
          <wp:inline distT="0" distB="0" distL="0" distR="0" wp14:anchorId="0E9080E1" wp14:editId="58ACE4EB">
            <wp:extent cx="1566863" cy="2146300"/>
            <wp:effectExtent l="0" t="0" r="0" b="0"/>
            <wp:docPr id="3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66863" cy="2146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32AF6FF8" w14:textId="6FB18F22" w:rsidR="00A65B7B" w:rsidRPr="00DD3670" w:rsidRDefault="00CD3C71" w:rsidP="000D3C36">
      <w:pPr>
        <w:snapToGrid w:val="0"/>
        <w:spacing w:before="120" w:after="120" w:line="240" w:lineRule="auto"/>
        <w:jc w:val="left"/>
        <w:rPr>
          <w:rFonts w:eastAsia="DengXian"/>
          <w:bCs/>
        </w:rPr>
      </w:pPr>
      <w:r w:rsidRPr="00DD3670">
        <w:rPr>
          <w:b/>
        </w:rPr>
        <w:t>Fig.</w:t>
      </w:r>
      <w:r w:rsidR="00A65B7B" w:rsidRPr="00DD3670">
        <w:rPr>
          <w:b/>
        </w:rPr>
        <w:t xml:space="preserve"> S</w:t>
      </w:r>
      <w:r w:rsidR="00EE508D" w:rsidRPr="00DD3670">
        <w:rPr>
          <w:rFonts w:hint="eastAsia"/>
          <w:b/>
        </w:rPr>
        <w:t>25</w:t>
      </w:r>
      <w:r w:rsidR="00A65B7B" w:rsidRPr="00DD3670">
        <w:rPr>
          <w:rFonts w:eastAsia="DengXian"/>
          <w:b/>
        </w:rPr>
        <w:t xml:space="preserve"> </w:t>
      </w:r>
      <w:r w:rsidR="00724294" w:rsidRPr="00DD3670">
        <w:rPr>
          <w:rFonts w:eastAsia="DengXian"/>
          <w:bCs/>
        </w:rPr>
        <w:t xml:space="preserve">Current density of LFP-C for </w:t>
      </w:r>
      <w:r w:rsidR="00310784" w:rsidRPr="00DD3670">
        <w:rPr>
          <w:rFonts w:eastAsia="DengXian" w:hint="eastAsia"/>
          <w:bCs/>
        </w:rPr>
        <w:t>DOC</w:t>
      </w:r>
      <w:r w:rsidR="00310784" w:rsidRPr="00DD3670">
        <w:rPr>
          <w:rFonts w:eastAsia="DengXian"/>
          <w:bCs/>
        </w:rPr>
        <w:t xml:space="preserve"> =0</w:t>
      </w:r>
      <w:r w:rsidR="000D3C36" w:rsidRPr="00DD3670">
        <w:rPr>
          <w:rFonts w:eastAsia="DengXian"/>
          <w:bCs/>
        </w:rPr>
        <w:t xml:space="preserve"> in the anode</w:t>
      </w:r>
    </w:p>
    <w:p w14:paraId="0F6754D7" w14:textId="327D5BBE" w:rsidR="00A65B7B" w:rsidRPr="00DD3670" w:rsidRDefault="00310784" w:rsidP="008E2A4A">
      <w:pPr>
        <w:snapToGrid w:val="0"/>
        <w:spacing w:before="120" w:after="120" w:line="240" w:lineRule="auto"/>
        <w:jc w:val="center"/>
        <w:rPr>
          <w:rFonts w:eastAsia="DengXian"/>
          <w:bCs/>
        </w:rPr>
      </w:pPr>
      <w:bookmarkStart w:id="2" w:name="OLE_LINK1"/>
      <w:bookmarkStart w:id="3" w:name="OLE_LINK2"/>
      <w:r w:rsidRPr="00DD3670">
        <w:rPr>
          <w:rFonts w:eastAsia="DengXian"/>
          <w:bCs/>
          <w:noProof/>
          <w:lang w:val="en-IN" w:eastAsia="en-IN"/>
        </w:rPr>
        <w:drawing>
          <wp:inline distT="0" distB="0" distL="0" distR="0" wp14:anchorId="0E356384" wp14:editId="31376A1D">
            <wp:extent cx="1566863" cy="2146300"/>
            <wp:effectExtent l="0" t="0" r="0" b="0"/>
            <wp:docPr id="3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66863" cy="2146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531E3094" w14:textId="4597276C" w:rsidR="00991FFA" w:rsidRPr="00DD3670" w:rsidRDefault="00CD3C71" w:rsidP="000D3C36">
      <w:pPr>
        <w:snapToGrid w:val="0"/>
        <w:spacing w:before="120" w:after="120" w:line="240" w:lineRule="auto"/>
        <w:jc w:val="left"/>
        <w:rPr>
          <w:rFonts w:eastAsia="DengXian"/>
          <w:bCs/>
        </w:rPr>
      </w:pPr>
      <w:r w:rsidRPr="00DD3670">
        <w:rPr>
          <w:b/>
        </w:rPr>
        <w:t>Fig.</w:t>
      </w:r>
      <w:r w:rsidR="00A65B7B" w:rsidRPr="00DD3670">
        <w:rPr>
          <w:b/>
        </w:rPr>
        <w:t xml:space="preserve"> S</w:t>
      </w:r>
      <w:r w:rsidR="008E4AB6" w:rsidRPr="00DD3670">
        <w:rPr>
          <w:rFonts w:hint="eastAsia"/>
          <w:b/>
        </w:rPr>
        <w:t>2</w:t>
      </w:r>
      <w:r w:rsidR="00EE508D" w:rsidRPr="00DD3670">
        <w:rPr>
          <w:rFonts w:hint="eastAsia"/>
          <w:b/>
        </w:rPr>
        <w:t>6</w:t>
      </w:r>
      <w:r w:rsidR="00A65B7B" w:rsidRPr="00DD3670">
        <w:rPr>
          <w:rFonts w:eastAsia="DengXian"/>
          <w:b/>
        </w:rPr>
        <w:t xml:space="preserve"> </w:t>
      </w:r>
      <w:bookmarkEnd w:id="2"/>
      <w:bookmarkEnd w:id="3"/>
      <w:r w:rsidR="00724294" w:rsidRPr="00DD3670">
        <w:rPr>
          <w:rFonts w:eastAsia="DengXian"/>
          <w:bCs/>
        </w:rPr>
        <w:t xml:space="preserve">Current density of LFP-I for </w:t>
      </w:r>
      <w:r w:rsidR="00310784" w:rsidRPr="00DD3670">
        <w:rPr>
          <w:rFonts w:eastAsia="DengXian" w:hint="eastAsia"/>
          <w:bCs/>
        </w:rPr>
        <w:t>DOC</w:t>
      </w:r>
      <w:r w:rsidR="000D3C36" w:rsidRPr="00DD3670">
        <w:rPr>
          <w:rFonts w:eastAsia="DengXian"/>
          <w:bCs/>
        </w:rPr>
        <w:t xml:space="preserve"> =0 in the anode</w:t>
      </w:r>
      <w:r w:rsidR="00991FFA" w:rsidRPr="00DD3670">
        <w:rPr>
          <w:rFonts w:eastAsia="DengXian"/>
          <w:bCs/>
        </w:rPr>
        <w:br w:type="page"/>
      </w:r>
    </w:p>
    <w:p w14:paraId="32D48F27" w14:textId="77777777" w:rsidR="00320802" w:rsidRPr="00DD3670" w:rsidRDefault="00320802" w:rsidP="008E2A4A">
      <w:pPr>
        <w:snapToGrid w:val="0"/>
        <w:spacing w:before="120" w:after="120" w:line="240" w:lineRule="auto"/>
        <w:jc w:val="center"/>
        <w:rPr>
          <w:rFonts w:eastAsia="DengXian"/>
          <w:bCs/>
        </w:rPr>
      </w:pPr>
    </w:p>
    <w:p w14:paraId="1B91971B" w14:textId="77777777" w:rsidR="00991FFA" w:rsidRPr="00DD3670" w:rsidRDefault="00991FFA" w:rsidP="008E2A4A">
      <w:pPr>
        <w:spacing w:before="120" w:after="120" w:line="240" w:lineRule="auto"/>
        <w:jc w:val="center"/>
      </w:pPr>
      <w:r w:rsidRPr="00DD3670">
        <w:rPr>
          <w:noProof/>
          <w:lang w:val="en-IN" w:eastAsia="en-IN"/>
        </w:rPr>
        <w:drawing>
          <wp:inline distT="0" distB="0" distL="0" distR="0" wp14:anchorId="3A84EF56" wp14:editId="1991204B">
            <wp:extent cx="4514850" cy="1865511"/>
            <wp:effectExtent l="0" t="0" r="0" b="1905"/>
            <wp:docPr id="71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14850" cy="1865511"/>
                    </a:xfrm>
                    <a:prstGeom prst="rect">
                      <a:avLst/>
                    </a:prstGeom>
                    <a:noFill/>
                    <a:ln>
                      <a:noFill/>
                    </a:ln>
                    <a:effectLst/>
                    <a:extLst/>
                  </pic:spPr>
                </pic:pic>
              </a:graphicData>
            </a:graphic>
          </wp:inline>
        </w:drawing>
      </w:r>
    </w:p>
    <w:p w14:paraId="3B5EAFA4" w14:textId="05765387" w:rsidR="00991FFA" w:rsidRPr="00DD3670" w:rsidRDefault="00CD3C71" w:rsidP="000D3C36">
      <w:pPr>
        <w:spacing w:before="120" w:after="120" w:line="240" w:lineRule="auto"/>
        <w:jc w:val="left"/>
      </w:pPr>
      <w:r w:rsidRPr="00DD3670">
        <w:rPr>
          <w:b/>
        </w:rPr>
        <w:t>Fig.</w:t>
      </w:r>
      <w:r w:rsidR="00991FFA" w:rsidRPr="00DD3670">
        <w:rPr>
          <w:b/>
        </w:rPr>
        <w:t xml:space="preserve"> </w:t>
      </w:r>
      <w:r w:rsidR="00EE508D" w:rsidRPr="00DD3670">
        <w:rPr>
          <w:rFonts w:hint="eastAsia"/>
          <w:b/>
        </w:rPr>
        <w:t>S27</w:t>
      </w:r>
      <w:r w:rsidR="00991FFA" w:rsidRPr="00DD3670">
        <w:rPr>
          <w:b/>
        </w:rPr>
        <w:t xml:space="preserve"> </w:t>
      </w:r>
      <w:r w:rsidR="00991FFA" w:rsidRPr="00DD3670">
        <w:t>(</w:t>
      </w:r>
      <w:r w:rsidR="00991FFA" w:rsidRPr="00DD3670">
        <w:rPr>
          <w:b/>
        </w:rPr>
        <w:t>a</w:t>
      </w:r>
      <w:r w:rsidR="00991FFA" w:rsidRPr="00DD3670">
        <w:t>) The number of grids model; (</w:t>
      </w:r>
      <w:r w:rsidR="00991FFA" w:rsidRPr="00DD3670">
        <w:rPr>
          <w:b/>
        </w:rPr>
        <w:t>b</w:t>
      </w:r>
      <w:r w:rsidR="00991FFA" w:rsidRPr="00DD3670">
        <w:t>) Stress variation</w:t>
      </w:r>
    </w:p>
    <w:p w14:paraId="1F848E88" w14:textId="67F047BE" w:rsidR="00991FFA" w:rsidRPr="00DD3670" w:rsidRDefault="00991FFA" w:rsidP="000D3C36">
      <w:pPr>
        <w:spacing w:before="120" w:after="120" w:line="240" w:lineRule="auto"/>
        <w:ind w:firstLineChars="100" w:firstLine="240"/>
        <w:rPr>
          <w:rFonts w:eastAsia="DengXian"/>
          <w:bCs/>
        </w:rPr>
      </w:pPr>
      <w:r w:rsidRPr="00DD3670">
        <w:t>The verification of grid independence for the stress calculations demonstrate that as the number of grids increases, the calculated stress values gradually converge and stabilize, showing that the numerical solution becomes insensitive to further mesh refinement. This confirms that the chosen mesh density is sufficient for accurate simulations and the influence of grid size on the final results can be safely neglected.</w:t>
      </w:r>
    </w:p>
    <w:sectPr w:rsidR="00991FFA" w:rsidRPr="00DD3670" w:rsidSect="0089712F">
      <w:headerReference w:type="default" r:id="rId41"/>
      <w:footerReference w:type="default" r:id="rId42"/>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410232" w14:textId="77777777" w:rsidR="0067429C" w:rsidRDefault="0067429C" w:rsidP="00511128">
      <w:pPr>
        <w:spacing w:line="240" w:lineRule="auto"/>
      </w:pPr>
      <w:r>
        <w:separator/>
      </w:r>
    </w:p>
  </w:endnote>
  <w:endnote w:type="continuationSeparator" w:id="0">
    <w:p w14:paraId="790ABF3E" w14:textId="77777777" w:rsidR="0067429C" w:rsidRDefault="0067429C" w:rsidP="005111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DengXian">
    <w:altName w:val="Arial Unicode MS"/>
    <w:charset w:val="86"/>
    <w:family w:val="auto"/>
    <w:pitch w:val="variable"/>
    <w:sig w:usb0="00000000"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楷体">
    <w:altName w:val="Arial Unicode MS"/>
    <w:charset w:val="86"/>
    <w:family w:val="modern"/>
    <w:pitch w:val="fixed"/>
    <w:sig w:usb0="00000000"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EA94F" w14:textId="4D08593B" w:rsidR="00D30F69" w:rsidRPr="000D3C36" w:rsidRDefault="00D30F69" w:rsidP="000D3C36">
    <w:pPr>
      <w:pStyle w:val="Footer"/>
      <w:jc w:val="center"/>
      <w:rPr>
        <w:sz w:val="21"/>
        <w:szCs w:val="21"/>
      </w:rPr>
    </w:pPr>
    <w:r w:rsidRPr="000D3C36">
      <w:rPr>
        <w:sz w:val="21"/>
        <w:szCs w:val="21"/>
      </w:rPr>
      <w:t>S</w:t>
    </w:r>
    <w:sdt>
      <w:sdtPr>
        <w:rPr>
          <w:sz w:val="21"/>
          <w:szCs w:val="21"/>
        </w:rPr>
        <w:id w:val="1686479886"/>
        <w:docPartObj>
          <w:docPartGallery w:val="Page Numbers (Bottom of Page)"/>
          <w:docPartUnique/>
        </w:docPartObj>
      </w:sdtPr>
      <w:sdtEndPr/>
      <w:sdtContent>
        <w:r w:rsidRPr="000D3C36">
          <w:rPr>
            <w:sz w:val="21"/>
            <w:szCs w:val="21"/>
          </w:rPr>
          <w:fldChar w:fldCharType="begin"/>
        </w:r>
        <w:r w:rsidRPr="000D3C36">
          <w:rPr>
            <w:sz w:val="21"/>
            <w:szCs w:val="21"/>
          </w:rPr>
          <w:instrText>PAGE   \* MERGEFORMAT</w:instrText>
        </w:r>
        <w:r w:rsidRPr="000D3C36">
          <w:rPr>
            <w:sz w:val="21"/>
            <w:szCs w:val="21"/>
          </w:rPr>
          <w:fldChar w:fldCharType="separate"/>
        </w:r>
        <w:r w:rsidR="00DD3670" w:rsidRPr="00DD3670">
          <w:rPr>
            <w:noProof/>
            <w:sz w:val="21"/>
            <w:szCs w:val="21"/>
            <w:lang w:val="zh-CN"/>
          </w:rPr>
          <w:t>10</w:t>
        </w:r>
        <w:r w:rsidRPr="000D3C36">
          <w:rPr>
            <w:sz w:val="21"/>
            <w:szCs w:val="21"/>
          </w:rPr>
          <w:fldChar w:fldCharType="end"/>
        </w:r>
      </w:sdtContent>
    </w:sdt>
    <w:r w:rsidR="000D3C36" w:rsidRPr="000D3C36">
      <w:rPr>
        <w:sz w:val="21"/>
        <w:szCs w:val="21"/>
      </w:rPr>
      <w:t>/S16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C7B4E" w14:textId="77777777" w:rsidR="0067429C" w:rsidRDefault="0067429C" w:rsidP="00511128">
      <w:pPr>
        <w:spacing w:line="240" w:lineRule="auto"/>
      </w:pPr>
      <w:r>
        <w:separator/>
      </w:r>
    </w:p>
  </w:footnote>
  <w:footnote w:type="continuationSeparator" w:id="0">
    <w:p w14:paraId="66A15795" w14:textId="77777777" w:rsidR="0067429C" w:rsidRDefault="0067429C" w:rsidP="005111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D44AE" w14:textId="2388923A" w:rsidR="000D3C36" w:rsidRDefault="00DD3670" w:rsidP="000D3C36">
    <w:pPr>
      <w:jc w:val="center"/>
    </w:pPr>
    <w:hyperlink r:id="rId1" w:history="1">
      <w:r w:rsidR="000D3C36" w:rsidRPr="000D3C36">
        <w:rPr>
          <w:rStyle w:val="Hyperlink"/>
          <w:rFonts w:hint="eastAsia"/>
        </w:rPr>
        <w:t>N</w:t>
      </w:r>
      <w:r w:rsidR="000D3C36" w:rsidRPr="000D3C36">
        <w:rPr>
          <w:rStyle w:val="Hyperlink"/>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07A08"/>
    <w:multiLevelType w:val="multilevel"/>
    <w:tmpl w:val="C866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555878"/>
    <w:multiLevelType w:val="hybridMultilevel"/>
    <w:tmpl w:val="AE544C84"/>
    <w:lvl w:ilvl="0" w:tplc="83EA1958">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activeWritingStyle w:appName="MSWord" w:lang="zh-CN" w:vendorID="64" w:dllVersion="131077" w:nlCheck="1" w:checkStyle="1"/>
  <w:proofState w:spelling="clean" w:grammar="clean"/>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a55rpxdaf552e5w2fx92f1z9d2waedwedx&quot;&gt;我的EndNote库&lt;record-ids&gt;&lt;item&gt;39&lt;/item&gt;&lt;item&gt;138&lt;/item&gt;&lt;item&gt;156&lt;/item&gt;&lt;item&gt;198&lt;/item&gt;&lt;item&gt;245&lt;/item&gt;&lt;item&gt;297&lt;/item&gt;&lt;item&gt;307&lt;/item&gt;&lt;item&gt;310&lt;/item&gt;&lt;item&gt;314&lt;/item&gt;&lt;item&gt;323&lt;/item&gt;&lt;item&gt;324&lt;/item&gt;&lt;item&gt;325&lt;/item&gt;&lt;item&gt;327&lt;/item&gt;&lt;item&gt;328&lt;/item&gt;&lt;item&gt;329&lt;/item&gt;&lt;/record-ids&gt;&lt;/item&gt;&lt;/Libraries&gt;"/>
  </w:docVars>
  <w:rsids>
    <w:rsidRoot w:val="00F95C84"/>
    <w:rsid w:val="00002216"/>
    <w:rsid w:val="000028CC"/>
    <w:rsid w:val="00003431"/>
    <w:rsid w:val="00004C40"/>
    <w:rsid w:val="000054C0"/>
    <w:rsid w:val="00005FF6"/>
    <w:rsid w:val="00006315"/>
    <w:rsid w:val="00011D58"/>
    <w:rsid w:val="00013BE5"/>
    <w:rsid w:val="00017EB2"/>
    <w:rsid w:val="00024E57"/>
    <w:rsid w:val="00030892"/>
    <w:rsid w:val="00030F30"/>
    <w:rsid w:val="000348DF"/>
    <w:rsid w:val="000374D3"/>
    <w:rsid w:val="00042D1E"/>
    <w:rsid w:val="00042F37"/>
    <w:rsid w:val="00046141"/>
    <w:rsid w:val="00051122"/>
    <w:rsid w:val="00052690"/>
    <w:rsid w:val="00056D88"/>
    <w:rsid w:val="00061512"/>
    <w:rsid w:val="000653E8"/>
    <w:rsid w:val="0007016A"/>
    <w:rsid w:val="00072C8D"/>
    <w:rsid w:val="00072CE5"/>
    <w:rsid w:val="00074FD4"/>
    <w:rsid w:val="00076C39"/>
    <w:rsid w:val="000775E2"/>
    <w:rsid w:val="00077D5D"/>
    <w:rsid w:val="0008333D"/>
    <w:rsid w:val="000864A3"/>
    <w:rsid w:val="00087120"/>
    <w:rsid w:val="0009640E"/>
    <w:rsid w:val="000A062A"/>
    <w:rsid w:val="000A36FE"/>
    <w:rsid w:val="000A5553"/>
    <w:rsid w:val="000B60C4"/>
    <w:rsid w:val="000B6853"/>
    <w:rsid w:val="000B783D"/>
    <w:rsid w:val="000B7BDC"/>
    <w:rsid w:val="000B7C51"/>
    <w:rsid w:val="000C10C6"/>
    <w:rsid w:val="000D2BD0"/>
    <w:rsid w:val="000D2C82"/>
    <w:rsid w:val="000D3C36"/>
    <w:rsid w:val="000D41BF"/>
    <w:rsid w:val="000D7929"/>
    <w:rsid w:val="000E0C82"/>
    <w:rsid w:val="000E0F60"/>
    <w:rsid w:val="000E1BC9"/>
    <w:rsid w:val="000E6C83"/>
    <w:rsid w:val="000E779F"/>
    <w:rsid w:val="000E7F2D"/>
    <w:rsid w:val="000F1C5C"/>
    <w:rsid w:val="000F3093"/>
    <w:rsid w:val="000F5344"/>
    <w:rsid w:val="000F779C"/>
    <w:rsid w:val="000F7C1F"/>
    <w:rsid w:val="001053D7"/>
    <w:rsid w:val="0010653A"/>
    <w:rsid w:val="00106C3C"/>
    <w:rsid w:val="00107D96"/>
    <w:rsid w:val="0011724D"/>
    <w:rsid w:val="00123FC5"/>
    <w:rsid w:val="0012753D"/>
    <w:rsid w:val="001353D1"/>
    <w:rsid w:val="001363C4"/>
    <w:rsid w:val="0014354A"/>
    <w:rsid w:val="00152587"/>
    <w:rsid w:val="0015268D"/>
    <w:rsid w:val="00152756"/>
    <w:rsid w:val="00153F0B"/>
    <w:rsid w:val="001662F3"/>
    <w:rsid w:val="00166970"/>
    <w:rsid w:val="00177F9A"/>
    <w:rsid w:val="00183D9E"/>
    <w:rsid w:val="00183DDB"/>
    <w:rsid w:val="00184C20"/>
    <w:rsid w:val="00186F33"/>
    <w:rsid w:val="00196D36"/>
    <w:rsid w:val="00197A61"/>
    <w:rsid w:val="001A4F4D"/>
    <w:rsid w:val="001A6DAE"/>
    <w:rsid w:val="001A7A40"/>
    <w:rsid w:val="001B48FD"/>
    <w:rsid w:val="001B64F6"/>
    <w:rsid w:val="001B7748"/>
    <w:rsid w:val="001C19D5"/>
    <w:rsid w:val="001C1FD9"/>
    <w:rsid w:val="001C3C2C"/>
    <w:rsid w:val="001C5498"/>
    <w:rsid w:val="001D5B93"/>
    <w:rsid w:val="001D5D09"/>
    <w:rsid w:val="001D67AB"/>
    <w:rsid w:val="001D691B"/>
    <w:rsid w:val="001D6B5F"/>
    <w:rsid w:val="001D7134"/>
    <w:rsid w:val="001E0798"/>
    <w:rsid w:val="001E1706"/>
    <w:rsid w:val="001F0A7D"/>
    <w:rsid w:val="001F410F"/>
    <w:rsid w:val="001F5510"/>
    <w:rsid w:val="001F5C86"/>
    <w:rsid w:val="001F606E"/>
    <w:rsid w:val="001F7612"/>
    <w:rsid w:val="00200ED8"/>
    <w:rsid w:val="00201C9F"/>
    <w:rsid w:val="00205AF4"/>
    <w:rsid w:val="00206159"/>
    <w:rsid w:val="00206DC4"/>
    <w:rsid w:val="00207AE9"/>
    <w:rsid w:val="002140AD"/>
    <w:rsid w:val="00215AD7"/>
    <w:rsid w:val="00221B2C"/>
    <w:rsid w:val="0022287E"/>
    <w:rsid w:val="0022427E"/>
    <w:rsid w:val="00227849"/>
    <w:rsid w:val="00233AA3"/>
    <w:rsid w:val="002343A3"/>
    <w:rsid w:val="00241E9D"/>
    <w:rsid w:val="0024334F"/>
    <w:rsid w:val="00244621"/>
    <w:rsid w:val="0024519B"/>
    <w:rsid w:val="00250085"/>
    <w:rsid w:val="00251808"/>
    <w:rsid w:val="00256602"/>
    <w:rsid w:val="00260BE5"/>
    <w:rsid w:val="00261216"/>
    <w:rsid w:val="00262068"/>
    <w:rsid w:val="002633F9"/>
    <w:rsid w:val="00266850"/>
    <w:rsid w:val="00270462"/>
    <w:rsid w:val="00272965"/>
    <w:rsid w:val="00273EB6"/>
    <w:rsid w:val="002742F8"/>
    <w:rsid w:val="00275778"/>
    <w:rsid w:val="00277DC4"/>
    <w:rsid w:val="0028100F"/>
    <w:rsid w:val="002818F4"/>
    <w:rsid w:val="0028476B"/>
    <w:rsid w:val="00284951"/>
    <w:rsid w:val="00285E2C"/>
    <w:rsid w:val="00291BCC"/>
    <w:rsid w:val="00295BFE"/>
    <w:rsid w:val="002A01A1"/>
    <w:rsid w:val="002A19C6"/>
    <w:rsid w:val="002B2B0A"/>
    <w:rsid w:val="002C3047"/>
    <w:rsid w:val="002C49C0"/>
    <w:rsid w:val="002C7831"/>
    <w:rsid w:val="002D6EBC"/>
    <w:rsid w:val="002D7996"/>
    <w:rsid w:val="002E6019"/>
    <w:rsid w:val="002F0498"/>
    <w:rsid w:val="002F1C8A"/>
    <w:rsid w:val="002F2EB3"/>
    <w:rsid w:val="002F3252"/>
    <w:rsid w:val="002F3A91"/>
    <w:rsid w:val="002F5A9D"/>
    <w:rsid w:val="00300E7C"/>
    <w:rsid w:val="00301B35"/>
    <w:rsid w:val="00305723"/>
    <w:rsid w:val="00305941"/>
    <w:rsid w:val="00310784"/>
    <w:rsid w:val="00310AF1"/>
    <w:rsid w:val="00312CDA"/>
    <w:rsid w:val="00314377"/>
    <w:rsid w:val="00316FBF"/>
    <w:rsid w:val="00320802"/>
    <w:rsid w:val="00321650"/>
    <w:rsid w:val="0032335F"/>
    <w:rsid w:val="00323785"/>
    <w:rsid w:val="00324B61"/>
    <w:rsid w:val="00337694"/>
    <w:rsid w:val="003410DD"/>
    <w:rsid w:val="00351342"/>
    <w:rsid w:val="00353917"/>
    <w:rsid w:val="00354F8C"/>
    <w:rsid w:val="00362703"/>
    <w:rsid w:val="00366748"/>
    <w:rsid w:val="003667BB"/>
    <w:rsid w:val="0037131C"/>
    <w:rsid w:val="00373EEC"/>
    <w:rsid w:val="00377D5C"/>
    <w:rsid w:val="003915B8"/>
    <w:rsid w:val="00393183"/>
    <w:rsid w:val="00393592"/>
    <w:rsid w:val="003A0D83"/>
    <w:rsid w:val="003A24A2"/>
    <w:rsid w:val="003A45B1"/>
    <w:rsid w:val="003A6B34"/>
    <w:rsid w:val="003B6EAE"/>
    <w:rsid w:val="003C4D79"/>
    <w:rsid w:val="003C68C6"/>
    <w:rsid w:val="003D206E"/>
    <w:rsid w:val="003D253F"/>
    <w:rsid w:val="003D2C68"/>
    <w:rsid w:val="003D36D8"/>
    <w:rsid w:val="003D670E"/>
    <w:rsid w:val="003D73F4"/>
    <w:rsid w:val="003E053C"/>
    <w:rsid w:val="003E1DF9"/>
    <w:rsid w:val="003E2799"/>
    <w:rsid w:val="003E3B53"/>
    <w:rsid w:val="003E4155"/>
    <w:rsid w:val="003E42F7"/>
    <w:rsid w:val="003E5734"/>
    <w:rsid w:val="003E6394"/>
    <w:rsid w:val="003F7C91"/>
    <w:rsid w:val="00400D33"/>
    <w:rsid w:val="00403DB7"/>
    <w:rsid w:val="00404093"/>
    <w:rsid w:val="00411B9A"/>
    <w:rsid w:val="0042602D"/>
    <w:rsid w:val="004309F8"/>
    <w:rsid w:val="00433003"/>
    <w:rsid w:val="00435055"/>
    <w:rsid w:val="004354DD"/>
    <w:rsid w:val="00437FE6"/>
    <w:rsid w:val="004405ED"/>
    <w:rsid w:val="004408BE"/>
    <w:rsid w:val="00442961"/>
    <w:rsid w:val="004430E2"/>
    <w:rsid w:val="00443359"/>
    <w:rsid w:val="004467C8"/>
    <w:rsid w:val="004478BC"/>
    <w:rsid w:val="00450C9B"/>
    <w:rsid w:val="004533BA"/>
    <w:rsid w:val="00456096"/>
    <w:rsid w:val="00456314"/>
    <w:rsid w:val="00456409"/>
    <w:rsid w:val="00461F74"/>
    <w:rsid w:val="00462552"/>
    <w:rsid w:val="004628EA"/>
    <w:rsid w:val="004658D9"/>
    <w:rsid w:val="00470750"/>
    <w:rsid w:val="0047642C"/>
    <w:rsid w:val="004823FA"/>
    <w:rsid w:val="00486355"/>
    <w:rsid w:val="00492977"/>
    <w:rsid w:val="004942F8"/>
    <w:rsid w:val="004943B6"/>
    <w:rsid w:val="004B3814"/>
    <w:rsid w:val="004B613B"/>
    <w:rsid w:val="004B6EA6"/>
    <w:rsid w:val="004B7662"/>
    <w:rsid w:val="004B7709"/>
    <w:rsid w:val="004B7BD3"/>
    <w:rsid w:val="004C12B8"/>
    <w:rsid w:val="004C6008"/>
    <w:rsid w:val="004D0207"/>
    <w:rsid w:val="004D269D"/>
    <w:rsid w:val="004D2A78"/>
    <w:rsid w:val="004E18A7"/>
    <w:rsid w:val="004E3638"/>
    <w:rsid w:val="004E556F"/>
    <w:rsid w:val="004E617D"/>
    <w:rsid w:val="004E7DC2"/>
    <w:rsid w:val="004F0281"/>
    <w:rsid w:val="004F7F14"/>
    <w:rsid w:val="00502966"/>
    <w:rsid w:val="0050390D"/>
    <w:rsid w:val="005066CE"/>
    <w:rsid w:val="00511128"/>
    <w:rsid w:val="0051556B"/>
    <w:rsid w:val="005165C0"/>
    <w:rsid w:val="00516D56"/>
    <w:rsid w:val="00517EBB"/>
    <w:rsid w:val="005208D3"/>
    <w:rsid w:val="00521533"/>
    <w:rsid w:val="0052159B"/>
    <w:rsid w:val="00522C13"/>
    <w:rsid w:val="00525A2E"/>
    <w:rsid w:val="00530E8D"/>
    <w:rsid w:val="00533EA6"/>
    <w:rsid w:val="0053582D"/>
    <w:rsid w:val="00536CC6"/>
    <w:rsid w:val="005373F7"/>
    <w:rsid w:val="0053776A"/>
    <w:rsid w:val="0054495B"/>
    <w:rsid w:val="005524D0"/>
    <w:rsid w:val="00554C53"/>
    <w:rsid w:val="00564A4F"/>
    <w:rsid w:val="00571C34"/>
    <w:rsid w:val="0057200B"/>
    <w:rsid w:val="00583C10"/>
    <w:rsid w:val="00591BFE"/>
    <w:rsid w:val="00594FAB"/>
    <w:rsid w:val="00596C9F"/>
    <w:rsid w:val="005A5AF4"/>
    <w:rsid w:val="005A6481"/>
    <w:rsid w:val="005B0B88"/>
    <w:rsid w:val="005B4937"/>
    <w:rsid w:val="005B5BB3"/>
    <w:rsid w:val="005B72BE"/>
    <w:rsid w:val="005B7DBB"/>
    <w:rsid w:val="005C6A11"/>
    <w:rsid w:val="005D563C"/>
    <w:rsid w:val="005D62B8"/>
    <w:rsid w:val="005D68A7"/>
    <w:rsid w:val="005E18B8"/>
    <w:rsid w:val="005E1E74"/>
    <w:rsid w:val="005E23C2"/>
    <w:rsid w:val="005E54DE"/>
    <w:rsid w:val="005E5707"/>
    <w:rsid w:val="005E5709"/>
    <w:rsid w:val="005F1743"/>
    <w:rsid w:val="005F17BE"/>
    <w:rsid w:val="005F23F4"/>
    <w:rsid w:val="005F6603"/>
    <w:rsid w:val="005F79C0"/>
    <w:rsid w:val="0060022E"/>
    <w:rsid w:val="006075BB"/>
    <w:rsid w:val="0061216D"/>
    <w:rsid w:val="006179EA"/>
    <w:rsid w:val="00622992"/>
    <w:rsid w:val="00622C90"/>
    <w:rsid w:val="00624A99"/>
    <w:rsid w:val="00634370"/>
    <w:rsid w:val="00634C41"/>
    <w:rsid w:val="006366A9"/>
    <w:rsid w:val="00636BF0"/>
    <w:rsid w:val="00640CDB"/>
    <w:rsid w:val="006454C2"/>
    <w:rsid w:val="00646B6E"/>
    <w:rsid w:val="00646FC3"/>
    <w:rsid w:val="00647701"/>
    <w:rsid w:val="006544CA"/>
    <w:rsid w:val="00660E2A"/>
    <w:rsid w:val="006668B7"/>
    <w:rsid w:val="006669F9"/>
    <w:rsid w:val="00667C53"/>
    <w:rsid w:val="00672B63"/>
    <w:rsid w:val="00673919"/>
    <w:rsid w:val="0067429C"/>
    <w:rsid w:val="006756FC"/>
    <w:rsid w:val="00677AFE"/>
    <w:rsid w:val="006900DE"/>
    <w:rsid w:val="00691FFC"/>
    <w:rsid w:val="0069762F"/>
    <w:rsid w:val="006A0114"/>
    <w:rsid w:val="006A71C6"/>
    <w:rsid w:val="006B68AD"/>
    <w:rsid w:val="006B6C2F"/>
    <w:rsid w:val="006C229F"/>
    <w:rsid w:val="006C4763"/>
    <w:rsid w:val="006D3660"/>
    <w:rsid w:val="006D7EF7"/>
    <w:rsid w:val="006E0384"/>
    <w:rsid w:val="006E4FEA"/>
    <w:rsid w:val="006E521E"/>
    <w:rsid w:val="006F069C"/>
    <w:rsid w:val="006F0820"/>
    <w:rsid w:val="006F264C"/>
    <w:rsid w:val="00700615"/>
    <w:rsid w:val="00721695"/>
    <w:rsid w:val="00722750"/>
    <w:rsid w:val="00724294"/>
    <w:rsid w:val="007243B1"/>
    <w:rsid w:val="007270ED"/>
    <w:rsid w:val="0073409E"/>
    <w:rsid w:val="007365BC"/>
    <w:rsid w:val="00741E17"/>
    <w:rsid w:val="00744A13"/>
    <w:rsid w:val="00744DDD"/>
    <w:rsid w:val="007473BF"/>
    <w:rsid w:val="00755CD8"/>
    <w:rsid w:val="00756082"/>
    <w:rsid w:val="0076761E"/>
    <w:rsid w:val="00771262"/>
    <w:rsid w:val="00775515"/>
    <w:rsid w:val="007828CE"/>
    <w:rsid w:val="00782979"/>
    <w:rsid w:val="007839F0"/>
    <w:rsid w:val="00784F92"/>
    <w:rsid w:val="00785834"/>
    <w:rsid w:val="00785AA1"/>
    <w:rsid w:val="00790FBB"/>
    <w:rsid w:val="0079489F"/>
    <w:rsid w:val="0079596D"/>
    <w:rsid w:val="007978B9"/>
    <w:rsid w:val="00797B1F"/>
    <w:rsid w:val="007A18D4"/>
    <w:rsid w:val="007A7C02"/>
    <w:rsid w:val="007B0755"/>
    <w:rsid w:val="007B2AC9"/>
    <w:rsid w:val="007B2D5E"/>
    <w:rsid w:val="007B3DBE"/>
    <w:rsid w:val="007B5806"/>
    <w:rsid w:val="007C43EC"/>
    <w:rsid w:val="007C50C1"/>
    <w:rsid w:val="007C5466"/>
    <w:rsid w:val="007D0C88"/>
    <w:rsid w:val="007D2769"/>
    <w:rsid w:val="007D5D19"/>
    <w:rsid w:val="007E04CF"/>
    <w:rsid w:val="007E1F95"/>
    <w:rsid w:val="007E31C2"/>
    <w:rsid w:val="007E54B4"/>
    <w:rsid w:val="007E5A53"/>
    <w:rsid w:val="007E641E"/>
    <w:rsid w:val="007F14B5"/>
    <w:rsid w:val="00800F11"/>
    <w:rsid w:val="00802960"/>
    <w:rsid w:val="00807C93"/>
    <w:rsid w:val="00812E35"/>
    <w:rsid w:val="00813540"/>
    <w:rsid w:val="00817E4B"/>
    <w:rsid w:val="00823348"/>
    <w:rsid w:val="0082395F"/>
    <w:rsid w:val="00825A23"/>
    <w:rsid w:val="00826387"/>
    <w:rsid w:val="0082641B"/>
    <w:rsid w:val="00830D87"/>
    <w:rsid w:val="008359DA"/>
    <w:rsid w:val="00836005"/>
    <w:rsid w:val="00836892"/>
    <w:rsid w:val="00843DAA"/>
    <w:rsid w:val="00847673"/>
    <w:rsid w:val="008511F4"/>
    <w:rsid w:val="00853919"/>
    <w:rsid w:val="008620EF"/>
    <w:rsid w:val="0086493B"/>
    <w:rsid w:val="00865519"/>
    <w:rsid w:val="00870B0E"/>
    <w:rsid w:val="00871132"/>
    <w:rsid w:val="00871825"/>
    <w:rsid w:val="00875E3C"/>
    <w:rsid w:val="008776BC"/>
    <w:rsid w:val="00881CC2"/>
    <w:rsid w:val="008838BD"/>
    <w:rsid w:val="00891363"/>
    <w:rsid w:val="008970D5"/>
    <w:rsid w:val="0089712F"/>
    <w:rsid w:val="008973DF"/>
    <w:rsid w:val="008A5543"/>
    <w:rsid w:val="008B4370"/>
    <w:rsid w:val="008B6E3F"/>
    <w:rsid w:val="008B7D60"/>
    <w:rsid w:val="008C5851"/>
    <w:rsid w:val="008C5C30"/>
    <w:rsid w:val="008D7849"/>
    <w:rsid w:val="008E1B96"/>
    <w:rsid w:val="008E2A4A"/>
    <w:rsid w:val="008E4AB6"/>
    <w:rsid w:val="008E4F27"/>
    <w:rsid w:val="008E50EF"/>
    <w:rsid w:val="008E7FE0"/>
    <w:rsid w:val="008F0AC5"/>
    <w:rsid w:val="008F412A"/>
    <w:rsid w:val="008F42A0"/>
    <w:rsid w:val="008F49B1"/>
    <w:rsid w:val="008F731E"/>
    <w:rsid w:val="008F7D7E"/>
    <w:rsid w:val="00900466"/>
    <w:rsid w:val="009032F6"/>
    <w:rsid w:val="00903575"/>
    <w:rsid w:val="00904C7F"/>
    <w:rsid w:val="00905802"/>
    <w:rsid w:val="0090756B"/>
    <w:rsid w:val="00907C1B"/>
    <w:rsid w:val="00910898"/>
    <w:rsid w:val="00913D9C"/>
    <w:rsid w:val="00915059"/>
    <w:rsid w:val="00915D10"/>
    <w:rsid w:val="00922384"/>
    <w:rsid w:val="009253A2"/>
    <w:rsid w:val="00934409"/>
    <w:rsid w:val="00947822"/>
    <w:rsid w:val="00950095"/>
    <w:rsid w:val="00950AFD"/>
    <w:rsid w:val="009529D8"/>
    <w:rsid w:val="00953441"/>
    <w:rsid w:val="009603CE"/>
    <w:rsid w:val="0096379D"/>
    <w:rsid w:val="0096609B"/>
    <w:rsid w:val="00966AF0"/>
    <w:rsid w:val="00970036"/>
    <w:rsid w:val="009708AC"/>
    <w:rsid w:val="00973174"/>
    <w:rsid w:val="009741B4"/>
    <w:rsid w:val="009746C2"/>
    <w:rsid w:val="009749F3"/>
    <w:rsid w:val="009763A0"/>
    <w:rsid w:val="00980D7C"/>
    <w:rsid w:val="009814B0"/>
    <w:rsid w:val="00985669"/>
    <w:rsid w:val="00990A18"/>
    <w:rsid w:val="00991FFA"/>
    <w:rsid w:val="0099337D"/>
    <w:rsid w:val="009A0D67"/>
    <w:rsid w:val="009A26F7"/>
    <w:rsid w:val="009A2F9C"/>
    <w:rsid w:val="009A4F65"/>
    <w:rsid w:val="009A64D0"/>
    <w:rsid w:val="009A7D02"/>
    <w:rsid w:val="009B5217"/>
    <w:rsid w:val="009B593C"/>
    <w:rsid w:val="009C79FA"/>
    <w:rsid w:val="009D02B7"/>
    <w:rsid w:val="009D035E"/>
    <w:rsid w:val="009D3F25"/>
    <w:rsid w:val="009D5CA7"/>
    <w:rsid w:val="009D7BCC"/>
    <w:rsid w:val="009E0B1C"/>
    <w:rsid w:val="009E3F53"/>
    <w:rsid w:val="009E6282"/>
    <w:rsid w:val="00A0097F"/>
    <w:rsid w:val="00A03AB9"/>
    <w:rsid w:val="00A06558"/>
    <w:rsid w:val="00A078B1"/>
    <w:rsid w:val="00A11180"/>
    <w:rsid w:val="00A12C4E"/>
    <w:rsid w:val="00A15EF3"/>
    <w:rsid w:val="00A21D37"/>
    <w:rsid w:val="00A21F81"/>
    <w:rsid w:val="00A26777"/>
    <w:rsid w:val="00A2769A"/>
    <w:rsid w:val="00A33091"/>
    <w:rsid w:val="00A36912"/>
    <w:rsid w:val="00A41B1D"/>
    <w:rsid w:val="00A51EFF"/>
    <w:rsid w:val="00A5311B"/>
    <w:rsid w:val="00A5361F"/>
    <w:rsid w:val="00A55457"/>
    <w:rsid w:val="00A65B7B"/>
    <w:rsid w:val="00A70EE6"/>
    <w:rsid w:val="00A72905"/>
    <w:rsid w:val="00A730FB"/>
    <w:rsid w:val="00A762A9"/>
    <w:rsid w:val="00A80803"/>
    <w:rsid w:val="00A82082"/>
    <w:rsid w:val="00A83780"/>
    <w:rsid w:val="00A90AE0"/>
    <w:rsid w:val="00AA08B1"/>
    <w:rsid w:val="00AA721C"/>
    <w:rsid w:val="00AB05EC"/>
    <w:rsid w:val="00AB1869"/>
    <w:rsid w:val="00AB2785"/>
    <w:rsid w:val="00AB2796"/>
    <w:rsid w:val="00AB3C0C"/>
    <w:rsid w:val="00AB46D7"/>
    <w:rsid w:val="00AB488E"/>
    <w:rsid w:val="00AB6831"/>
    <w:rsid w:val="00AC0963"/>
    <w:rsid w:val="00AE19FF"/>
    <w:rsid w:val="00AE3773"/>
    <w:rsid w:val="00AE743D"/>
    <w:rsid w:val="00AE7F6D"/>
    <w:rsid w:val="00AF28B0"/>
    <w:rsid w:val="00AF30DA"/>
    <w:rsid w:val="00AF3495"/>
    <w:rsid w:val="00AF3836"/>
    <w:rsid w:val="00B048BB"/>
    <w:rsid w:val="00B053FA"/>
    <w:rsid w:val="00B056AD"/>
    <w:rsid w:val="00B07D91"/>
    <w:rsid w:val="00B10D24"/>
    <w:rsid w:val="00B15238"/>
    <w:rsid w:val="00B15B17"/>
    <w:rsid w:val="00B16459"/>
    <w:rsid w:val="00B17ED2"/>
    <w:rsid w:val="00B21E55"/>
    <w:rsid w:val="00B222BC"/>
    <w:rsid w:val="00B260A5"/>
    <w:rsid w:val="00B32F7A"/>
    <w:rsid w:val="00B33709"/>
    <w:rsid w:val="00B34D39"/>
    <w:rsid w:val="00B37EC7"/>
    <w:rsid w:val="00B40063"/>
    <w:rsid w:val="00B4117D"/>
    <w:rsid w:val="00B432BA"/>
    <w:rsid w:val="00B45376"/>
    <w:rsid w:val="00B52D9D"/>
    <w:rsid w:val="00B53DEB"/>
    <w:rsid w:val="00B5552B"/>
    <w:rsid w:val="00B60573"/>
    <w:rsid w:val="00B62666"/>
    <w:rsid w:val="00B650F4"/>
    <w:rsid w:val="00B661F1"/>
    <w:rsid w:val="00B73A2E"/>
    <w:rsid w:val="00B75B3A"/>
    <w:rsid w:val="00B75C3C"/>
    <w:rsid w:val="00B82111"/>
    <w:rsid w:val="00B82288"/>
    <w:rsid w:val="00B8649E"/>
    <w:rsid w:val="00B92152"/>
    <w:rsid w:val="00B929CF"/>
    <w:rsid w:val="00B92ABB"/>
    <w:rsid w:val="00BA16A5"/>
    <w:rsid w:val="00BA3923"/>
    <w:rsid w:val="00BA56AD"/>
    <w:rsid w:val="00BB2DB8"/>
    <w:rsid w:val="00BC08D9"/>
    <w:rsid w:val="00BC4243"/>
    <w:rsid w:val="00BC57C7"/>
    <w:rsid w:val="00BE3290"/>
    <w:rsid w:val="00BE3752"/>
    <w:rsid w:val="00BE6357"/>
    <w:rsid w:val="00BF2687"/>
    <w:rsid w:val="00BF61D4"/>
    <w:rsid w:val="00BF7BD1"/>
    <w:rsid w:val="00C02A53"/>
    <w:rsid w:val="00C0399F"/>
    <w:rsid w:val="00C0481F"/>
    <w:rsid w:val="00C05EDE"/>
    <w:rsid w:val="00C106AE"/>
    <w:rsid w:val="00C162B4"/>
    <w:rsid w:val="00C17B47"/>
    <w:rsid w:val="00C21934"/>
    <w:rsid w:val="00C23025"/>
    <w:rsid w:val="00C24FD2"/>
    <w:rsid w:val="00C25225"/>
    <w:rsid w:val="00C311E1"/>
    <w:rsid w:val="00C31CF5"/>
    <w:rsid w:val="00C325CA"/>
    <w:rsid w:val="00C3549F"/>
    <w:rsid w:val="00C3639C"/>
    <w:rsid w:val="00C4206D"/>
    <w:rsid w:val="00C432B4"/>
    <w:rsid w:val="00C43E66"/>
    <w:rsid w:val="00C44320"/>
    <w:rsid w:val="00C44509"/>
    <w:rsid w:val="00C50C36"/>
    <w:rsid w:val="00C5275B"/>
    <w:rsid w:val="00C53222"/>
    <w:rsid w:val="00C53994"/>
    <w:rsid w:val="00C57E1F"/>
    <w:rsid w:val="00C60678"/>
    <w:rsid w:val="00C62B32"/>
    <w:rsid w:val="00C62E83"/>
    <w:rsid w:val="00C631F2"/>
    <w:rsid w:val="00C63B5A"/>
    <w:rsid w:val="00C750E1"/>
    <w:rsid w:val="00C763B3"/>
    <w:rsid w:val="00C770EB"/>
    <w:rsid w:val="00C808B9"/>
    <w:rsid w:val="00C853C9"/>
    <w:rsid w:val="00C865CE"/>
    <w:rsid w:val="00C94AD6"/>
    <w:rsid w:val="00C94AFB"/>
    <w:rsid w:val="00C94EDC"/>
    <w:rsid w:val="00C95354"/>
    <w:rsid w:val="00CA1FB0"/>
    <w:rsid w:val="00CA4309"/>
    <w:rsid w:val="00CA77FA"/>
    <w:rsid w:val="00CB0A7A"/>
    <w:rsid w:val="00CB0F79"/>
    <w:rsid w:val="00CB2164"/>
    <w:rsid w:val="00CB39E3"/>
    <w:rsid w:val="00CC1002"/>
    <w:rsid w:val="00CC243D"/>
    <w:rsid w:val="00CC2592"/>
    <w:rsid w:val="00CC62A2"/>
    <w:rsid w:val="00CD07E9"/>
    <w:rsid w:val="00CD0C4F"/>
    <w:rsid w:val="00CD3C71"/>
    <w:rsid w:val="00CD3DC9"/>
    <w:rsid w:val="00CF00A4"/>
    <w:rsid w:val="00CF04CF"/>
    <w:rsid w:val="00CF13A9"/>
    <w:rsid w:val="00CF1FD7"/>
    <w:rsid w:val="00D01CE3"/>
    <w:rsid w:val="00D03968"/>
    <w:rsid w:val="00D039B1"/>
    <w:rsid w:val="00D04ACC"/>
    <w:rsid w:val="00D04C53"/>
    <w:rsid w:val="00D0718C"/>
    <w:rsid w:val="00D102B6"/>
    <w:rsid w:val="00D130DE"/>
    <w:rsid w:val="00D13799"/>
    <w:rsid w:val="00D1528D"/>
    <w:rsid w:val="00D17FF5"/>
    <w:rsid w:val="00D21DD6"/>
    <w:rsid w:val="00D225FB"/>
    <w:rsid w:val="00D2433E"/>
    <w:rsid w:val="00D2626C"/>
    <w:rsid w:val="00D266AB"/>
    <w:rsid w:val="00D30F69"/>
    <w:rsid w:val="00D316EF"/>
    <w:rsid w:val="00D33AEE"/>
    <w:rsid w:val="00D36D4C"/>
    <w:rsid w:val="00D45611"/>
    <w:rsid w:val="00D459A1"/>
    <w:rsid w:val="00D45B23"/>
    <w:rsid w:val="00D45B82"/>
    <w:rsid w:val="00D46560"/>
    <w:rsid w:val="00D465C5"/>
    <w:rsid w:val="00D61AD1"/>
    <w:rsid w:val="00D809E8"/>
    <w:rsid w:val="00D80C11"/>
    <w:rsid w:val="00D81F27"/>
    <w:rsid w:val="00D848E1"/>
    <w:rsid w:val="00D86F1A"/>
    <w:rsid w:val="00D87040"/>
    <w:rsid w:val="00D87357"/>
    <w:rsid w:val="00DA0417"/>
    <w:rsid w:val="00DA1E61"/>
    <w:rsid w:val="00DA34C4"/>
    <w:rsid w:val="00DB2AF8"/>
    <w:rsid w:val="00DD1651"/>
    <w:rsid w:val="00DD3670"/>
    <w:rsid w:val="00DD4717"/>
    <w:rsid w:val="00DD487E"/>
    <w:rsid w:val="00DD6620"/>
    <w:rsid w:val="00DE02DC"/>
    <w:rsid w:val="00DE5B8B"/>
    <w:rsid w:val="00DF272C"/>
    <w:rsid w:val="00DF7307"/>
    <w:rsid w:val="00E0078D"/>
    <w:rsid w:val="00E02CD5"/>
    <w:rsid w:val="00E03E5D"/>
    <w:rsid w:val="00E11433"/>
    <w:rsid w:val="00E1280B"/>
    <w:rsid w:val="00E1495B"/>
    <w:rsid w:val="00E14BB8"/>
    <w:rsid w:val="00E157B0"/>
    <w:rsid w:val="00E16BA2"/>
    <w:rsid w:val="00E17A4D"/>
    <w:rsid w:val="00E2163E"/>
    <w:rsid w:val="00E2279F"/>
    <w:rsid w:val="00E23C24"/>
    <w:rsid w:val="00E23D90"/>
    <w:rsid w:val="00E25B17"/>
    <w:rsid w:val="00E276AF"/>
    <w:rsid w:val="00E30AA1"/>
    <w:rsid w:val="00E342DE"/>
    <w:rsid w:val="00E34855"/>
    <w:rsid w:val="00E36F44"/>
    <w:rsid w:val="00E37501"/>
    <w:rsid w:val="00E37AB8"/>
    <w:rsid w:val="00E42BDB"/>
    <w:rsid w:val="00E433D8"/>
    <w:rsid w:val="00E440EE"/>
    <w:rsid w:val="00E53620"/>
    <w:rsid w:val="00E53F65"/>
    <w:rsid w:val="00E55D3B"/>
    <w:rsid w:val="00E562E8"/>
    <w:rsid w:val="00E57487"/>
    <w:rsid w:val="00E61E79"/>
    <w:rsid w:val="00E721F0"/>
    <w:rsid w:val="00E965F2"/>
    <w:rsid w:val="00E96B8B"/>
    <w:rsid w:val="00EA4AD2"/>
    <w:rsid w:val="00EA52EC"/>
    <w:rsid w:val="00EB1292"/>
    <w:rsid w:val="00EB4817"/>
    <w:rsid w:val="00EB555C"/>
    <w:rsid w:val="00EB600E"/>
    <w:rsid w:val="00EC1B59"/>
    <w:rsid w:val="00ED1289"/>
    <w:rsid w:val="00ED31F8"/>
    <w:rsid w:val="00ED3C3E"/>
    <w:rsid w:val="00ED478B"/>
    <w:rsid w:val="00ED5EF4"/>
    <w:rsid w:val="00ED7BE8"/>
    <w:rsid w:val="00EE2374"/>
    <w:rsid w:val="00EE37BF"/>
    <w:rsid w:val="00EE508D"/>
    <w:rsid w:val="00EF0836"/>
    <w:rsid w:val="00EF110A"/>
    <w:rsid w:val="00EF20AB"/>
    <w:rsid w:val="00EF65D4"/>
    <w:rsid w:val="00EF771D"/>
    <w:rsid w:val="00F015D7"/>
    <w:rsid w:val="00F0511F"/>
    <w:rsid w:val="00F06C03"/>
    <w:rsid w:val="00F11AF9"/>
    <w:rsid w:val="00F11FCA"/>
    <w:rsid w:val="00F14B51"/>
    <w:rsid w:val="00F268B0"/>
    <w:rsid w:val="00F313B9"/>
    <w:rsid w:val="00F32075"/>
    <w:rsid w:val="00F33492"/>
    <w:rsid w:val="00F34984"/>
    <w:rsid w:val="00F34EFD"/>
    <w:rsid w:val="00F3588E"/>
    <w:rsid w:val="00F42A31"/>
    <w:rsid w:val="00F42C3F"/>
    <w:rsid w:val="00F50223"/>
    <w:rsid w:val="00F61D8E"/>
    <w:rsid w:val="00F637A0"/>
    <w:rsid w:val="00F70984"/>
    <w:rsid w:val="00F75B39"/>
    <w:rsid w:val="00F805B6"/>
    <w:rsid w:val="00F8332A"/>
    <w:rsid w:val="00F841E1"/>
    <w:rsid w:val="00F8670B"/>
    <w:rsid w:val="00F909CB"/>
    <w:rsid w:val="00F944ED"/>
    <w:rsid w:val="00F95C84"/>
    <w:rsid w:val="00FA2023"/>
    <w:rsid w:val="00FA23A1"/>
    <w:rsid w:val="00FA725E"/>
    <w:rsid w:val="00FB0984"/>
    <w:rsid w:val="00FD2054"/>
    <w:rsid w:val="00FD216D"/>
    <w:rsid w:val="00FD2653"/>
    <w:rsid w:val="00FD46AA"/>
    <w:rsid w:val="00FF741A"/>
    <w:rsid w:val="1473769F"/>
    <w:rsid w:val="16571D58"/>
    <w:rsid w:val="18A1191A"/>
    <w:rsid w:val="1A591798"/>
    <w:rsid w:val="2EA46157"/>
    <w:rsid w:val="37FE1875"/>
    <w:rsid w:val="393F1FC6"/>
    <w:rsid w:val="396F735B"/>
    <w:rsid w:val="501B4830"/>
    <w:rsid w:val="562E1FAA"/>
    <w:rsid w:val="65A366D7"/>
    <w:rsid w:val="7A0C42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A222256"/>
  <w15:docId w15:val="{5E620F02-9B04-4243-B46F-2FE07993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12F"/>
    <w:pPr>
      <w:widowControl w:val="0"/>
      <w:spacing w:line="480" w:lineRule="auto"/>
      <w:jc w:val="both"/>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12F"/>
    <w:pPr>
      <w:spacing w:line="240" w:lineRule="auto"/>
    </w:pPr>
    <w:rPr>
      <w:sz w:val="18"/>
      <w:szCs w:val="18"/>
    </w:rPr>
  </w:style>
  <w:style w:type="paragraph" w:styleId="Footer">
    <w:name w:val="footer"/>
    <w:basedOn w:val="Normal"/>
    <w:link w:val="FooterChar"/>
    <w:uiPriority w:val="99"/>
    <w:unhideWhenUsed/>
    <w:qFormat/>
    <w:rsid w:val="0089712F"/>
    <w:pPr>
      <w:tabs>
        <w:tab w:val="center" w:pos="4153"/>
        <w:tab w:val="right" w:pos="8306"/>
      </w:tabs>
      <w:snapToGrid w:val="0"/>
      <w:spacing w:line="240" w:lineRule="auto"/>
      <w:jc w:val="left"/>
    </w:pPr>
    <w:rPr>
      <w:sz w:val="18"/>
      <w:szCs w:val="18"/>
    </w:rPr>
  </w:style>
  <w:style w:type="paragraph" w:styleId="Header">
    <w:name w:val="header"/>
    <w:basedOn w:val="Normal"/>
    <w:link w:val="HeaderChar"/>
    <w:uiPriority w:val="99"/>
    <w:unhideWhenUsed/>
    <w:qFormat/>
    <w:rsid w:val="0089712F"/>
    <w:pPr>
      <w:pBdr>
        <w:bottom w:val="single" w:sz="6" w:space="1" w:color="auto"/>
      </w:pBdr>
      <w:tabs>
        <w:tab w:val="center" w:pos="4153"/>
        <w:tab w:val="right" w:pos="8306"/>
      </w:tabs>
      <w:snapToGrid w:val="0"/>
      <w:spacing w:line="240" w:lineRule="auto"/>
      <w:jc w:val="center"/>
    </w:pPr>
    <w:rPr>
      <w:sz w:val="18"/>
      <w:szCs w:val="18"/>
    </w:rPr>
  </w:style>
  <w:style w:type="paragraph" w:customStyle="1" w:styleId="EndNoteBibliographyTitle">
    <w:name w:val="EndNote Bibliography Title"/>
    <w:basedOn w:val="Normal"/>
    <w:link w:val="EndNoteBibliographyTitleChar"/>
    <w:rsid w:val="0089712F"/>
    <w:pPr>
      <w:jc w:val="center"/>
    </w:pPr>
  </w:style>
  <w:style w:type="character" w:customStyle="1" w:styleId="EndNoteBibliographyTitleChar">
    <w:name w:val="EndNote Bibliography Title Char"/>
    <w:basedOn w:val="DefaultParagraphFont"/>
    <w:link w:val="EndNoteBibliographyTitle"/>
    <w:qFormat/>
    <w:rsid w:val="0089712F"/>
    <w:rPr>
      <w:kern w:val="2"/>
      <w:sz w:val="24"/>
      <w:szCs w:val="24"/>
    </w:rPr>
  </w:style>
  <w:style w:type="paragraph" w:customStyle="1" w:styleId="EndNoteBibliography">
    <w:name w:val="EndNote Bibliography"/>
    <w:basedOn w:val="Normal"/>
    <w:link w:val="EndNoteBibliographyChar"/>
    <w:qFormat/>
    <w:rsid w:val="0089712F"/>
    <w:pPr>
      <w:spacing w:line="240" w:lineRule="auto"/>
    </w:pPr>
  </w:style>
  <w:style w:type="character" w:customStyle="1" w:styleId="EndNoteBibliographyChar">
    <w:name w:val="EndNote Bibliography Char"/>
    <w:basedOn w:val="DefaultParagraphFont"/>
    <w:link w:val="EndNoteBibliography"/>
    <w:qFormat/>
    <w:rsid w:val="0089712F"/>
    <w:rPr>
      <w:kern w:val="2"/>
      <w:sz w:val="24"/>
      <w:szCs w:val="24"/>
    </w:rPr>
  </w:style>
  <w:style w:type="paragraph" w:customStyle="1" w:styleId="Title2">
    <w:name w:val="Title2"/>
    <w:basedOn w:val="Normal"/>
    <w:qFormat/>
    <w:rsid w:val="0089712F"/>
    <w:rPr>
      <w:b/>
    </w:rPr>
  </w:style>
  <w:style w:type="paragraph" w:customStyle="1" w:styleId="AuthorsFull">
    <w:name w:val="Authors Full"/>
    <w:basedOn w:val="Normal"/>
    <w:rsid w:val="0089712F"/>
    <w:rPr>
      <w:i/>
    </w:rPr>
  </w:style>
  <w:style w:type="paragraph" w:customStyle="1" w:styleId="Addresses">
    <w:name w:val="Addresses"/>
    <w:basedOn w:val="Normal"/>
    <w:qFormat/>
    <w:rsid w:val="0089712F"/>
  </w:style>
  <w:style w:type="character" w:customStyle="1" w:styleId="HeaderChar">
    <w:name w:val="Header Char"/>
    <w:basedOn w:val="DefaultParagraphFont"/>
    <w:link w:val="Header"/>
    <w:uiPriority w:val="99"/>
    <w:rsid w:val="0089712F"/>
    <w:rPr>
      <w:rFonts w:ascii="Times New Roman" w:eastAsia="SimSun" w:hAnsi="Times New Roman" w:cs="Times New Roman"/>
      <w:sz w:val="18"/>
      <w:szCs w:val="18"/>
    </w:rPr>
  </w:style>
  <w:style w:type="character" w:customStyle="1" w:styleId="FooterChar">
    <w:name w:val="Footer Char"/>
    <w:basedOn w:val="DefaultParagraphFont"/>
    <w:link w:val="Footer"/>
    <w:uiPriority w:val="99"/>
    <w:qFormat/>
    <w:rsid w:val="0089712F"/>
    <w:rPr>
      <w:rFonts w:ascii="Times New Roman" w:eastAsia="SimSun" w:hAnsi="Times New Roman" w:cs="Times New Roman"/>
      <w:sz w:val="18"/>
      <w:szCs w:val="18"/>
    </w:rPr>
  </w:style>
  <w:style w:type="paragraph" w:customStyle="1" w:styleId="Tableofcontents">
    <w:name w:val="Table of contents"/>
    <w:basedOn w:val="Normal"/>
    <w:rsid w:val="0089712F"/>
    <w:pPr>
      <w:widowControl/>
      <w:spacing w:line="360" w:lineRule="auto"/>
    </w:pPr>
    <w:rPr>
      <w:rFonts w:eastAsia="MS Mincho"/>
      <w:b/>
      <w:kern w:val="0"/>
      <w:lang w:eastAsia="ja-JP"/>
    </w:rPr>
  </w:style>
  <w:style w:type="character" w:customStyle="1" w:styleId="font11">
    <w:name w:val="font11"/>
    <w:basedOn w:val="DefaultParagraphFont"/>
    <w:qFormat/>
    <w:rsid w:val="0089712F"/>
    <w:rPr>
      <w:rFonts w:ascii="Times New Roman" w:hAnsi="Times New Roman" w:cs="Times New Roman" w:hint="default"/>
      <w:color w:val="000000"/>
      <w:sz w:val="24"/>
      <w:szCs w:val="24"/>
      <w:u w:val="none"/>
      <w:vertAlign w:val="superscript"/>
    </w:rPr>
  </w:style>
  <w:style w:type="character" w:customStyle="1" w:styleId="BalloonTextChar">
    <w:name w:val="Balloon Text Char"/>
    <w:basedOn w:val="DefaultParagraphFont"/>
    <w:link w:val="BalloonText"/>
    <w:uiPriority w:val="99"/>
    <w:semiHidden/>
    <w:rsid w:val="0089712F"/>
    <w:rPr>
      <w:kern w:val="2"/>
      <w:sz w:val="18"/>
      <w:szCs w:val="18"/>
    </w:rPr>
  </w:style>
  <w:style w:type="paragraph" w:customStyle="1" w:styleId="Legend">
    <w:name w:val="Legend"/>
    <w:basedOn w:val="Normal"/>
    <w:qFormat/>
    <w:rsid w:val="00206DC4"/>
    <w:pPr>
      <w:widowControl/>
      <w:spacing w:line="240" w:lineRule="auto"/>
      <w:jc w:val="left"/>
    </w:pPr>
    <w:rPr>
      <w:rFonts w:ascii="Calibri" w:hAnsi="Calibri"/>
      <w:kern w:val="0"/>
      <w:lang w:eastAsia="ja-JP"/>
    </w:rPr>
  </w:style>
  <w:style w:type="character" w:styleId="Hyperlink">
    <w:name w:val="Hyperlink"/>
    <w:basedOn w:val="DefaultParagraphFont"/>
    <w:uiPriority w:val="99"/>
    <w:unhideWhenUsed/>
    <w:rsid w:val="00756082"/>
    <w:rPr>
      <w:color w:val="0563C1" w:themeColor="hyperlink"/>
      <w:u w:val="single"/>
    </w:rPr>
  </w:style>
  <w:style w:type="character" w:customStyle="1" w:styleId="skip">
    <w:name w:val="skip"/>
    <w:basedOn w:val="DefaultParagraphFont"/>
    <w:rsid w:val="00CA4309"/>
  </w:style>
  <w:style w:type="paragraph" w:styleId="ListParagraph">
    <w:name w:val="List Paragraph"/>
    <w:basedOn w:val="Normal"/>
    <w:uiPriority w:val="99"/>
    <w:rsid w:val="00A5361F"/>
    <w:pPr>
      <w:ind w:firstLineChars="200" w:firstLine="420"/>
    </w:pPr>
  </w:style>
  <w:style w:type="character" w:customStyle="1" w:styleId="translated-span">
    <w:name w:val="translated-span"/>
    <w:rsid w:val="00AE743D"/>
  </w:style>
  <w:style w:type="table" w:styleId="TableGrid">
    <w:name w:val="Table Grid"/>
    <w:basedOn w:val="TableNormal"/>
    <w:uiPriority w:val="59"/>
    <w:rsid w:val="00CA77FA"/>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t">
    <w:name w:val="tgt"/>
    <w:basedOn w:val="DefaultParagraphFont"/>
    <w:rsid w:val="000D2C82"/>
  </w:style>
  <w:style w:type="character" w:styleId="CommentReference">
    <w:name w:val="annotation reference"/>
    <w:basedOn w:val="DefaultParagraphFont"/>
    <w:unhideWhenUsed/>
    <w:qFormat/>
    <w:rsid w:val="002F0498"/>
    <w:rPr>
      <w:sz w:val="21"/>
      <w:szCs w:val="21"/>
    </w:rPr>
  </w:style>
  <w:style w:type="paragraph" w:styleId="CommentText">
    <w:name w:val="annotation text"/>
    <w:basedOn w:val="Normal"/>
    <w:link w:val="CommentTextChar"/>
    <w:uiPriority w:val="99"/>
    <w:semiHidden/>
    <w:unhideWhenUsed/>
    <w:rsid w:val="002F0498"/>
    <w:pPr>
      <w:jc w:val="left"/>
    </w:pPr>
  </w:style>
  <w:style w:type="character" w:customStyle="1" w:styleId="CommentTextChar">
    <w:name w:val="Comment Text Char"/>
    <w:basedOn w:val="DefaultParagraphFont"/>
    <w:link w:val="CommentText"/>
    <w:uiPriority w:val="99"/>
    <w:semiHidden/>
    <w:rsid w:val="002F0498"/>
    <w:rPr>
      <w:kern w:val="2"/>
      <w:sz w:val="24"/>
      <w:szCs w:val="24"/>
    </w:rPr>
  </w:style>
  <w:style w:type="paragraph" w:styleId="CommentSubject">
    <w:name w:val="annotation subject"/>
    <w:basedOn w:val="CommentText"/>
    <w:next w:val="CommentText"/>
    <w:link w:val="CommentSubjectChar"/>
    <w:uiPriority w:val="99"/>
    <w:semiHidden/>
    <w:unhideWhenUsed/>
    <w:rsid w:val="002F0498"/>
    <w:rPr>
      <w:b/>
      <w:bCs/>
    </w:rPr>
  </w:style>
  <w:style w:type="character" w:customStyle="1" w:styleId="CommentSubjectChar">
    <w:name w:val="Comment Subject Char"/>
    <w:basedOn w:val="CommentTextChar"/>
    <w:link w:val="CommentSubject"/>
    <w:uiPriority w:val="99"/>
    <w:semiHidden/>
    <w:rsid w:val="002F0498"/>
    <w:rPr>
      <w:b/>
      <w:bCs/>
      <w:kern w:val="2"/>
      <w:sz w:val="24"/>
      <w:szCs w:val="24"/>
    </w:rPr>
  </w:style>
  <w:style w:type="paragraph" w:styleId="Revision">
    <w:name w:val="Revision"/>
    <w:hidden/>
    <w:uiPriority w:val="99"/>
    <w:semiHidden/>
    <w:rsid w:val="0028476B"/>
    <w:rPr>
      <w:kern w:val="2"/>
      <w:sz w:val="24"/>
      <w:szCs w:val="24"/>
    </w:rPr>
  </w:style>
  <w:style w:type="table" w:customStyle="1" w:styleId="31">
    <w:name w:val="无格式表格 31"/>
    <w:basedOn w:val="TableNormal"/>
    <w:uiPriority w:val="43"/>
    <w:rsid w:val="00196D3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
    <w:name w:val="无格式表格 41"/>
    <w:basedOn w:val="TableNormal"/>
    <w:uiPriority w:val="44"/>
    <w:rsid w:val="00196D3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无格式表格 21"/>
    <w:basedOn w:val="TableNormal"/>
    <w:uiPriority w:val="42"/>
    <w:rsid w:val="00196D3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清单表 1 浅色1"/>
    <w:basedOn w:val="TableNormal"/>
    <w:uiPriority w:val="46"/>
    <w:rsid w:val="00196D3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602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enlai144@sina.com"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mailto:suyuefeng@bit.edu.cn"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jydong@bit.edu.cn"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1.wmf"/><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31D6CA-3D6E-41FE-8894-BF25E7BC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2482</Words>
  <Characters>14149</Characters>
  <Application>Microsoft Office Word</Application>
  <DocSecurity>0</DocSecurity>
  <Lines>117</Lines>
  <Paragraphs>33</Paragraphs>
  <ScaleCrop>false</ScaleCrop>
  <Company>Microsoft</Company>
  <LinksUpToDate>false</LinksUpToDate>
  <CharactersWithSpaces>16598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欧 星</dc:creator>
  <cp:lastModifiedBy>Sujithaa R</cp:lastModifiedBy>
  <cp:revision>9</cp:revision>
  <dcterms:created xsi:type="dcterms:W3CDTF">2025-10-10T01:29:00Z</dcterms:created>
  <dcterms:modified xsi:type="dcterms:W3CDTF">2025-10-23T03:24:00Z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