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0FB89D">
      <w:pPr>
        <w:rPr>
          <w:rFonts w:ascii="Times New Roman" w:hAnsi="Times New Roman" w:cs="Times New Roman"/>
          <w:b/>
          <w:bCs/>
          <w:sz w:val="28"/>
          <w:szCs w:val="28"/>
        </w:rPr>
      </w:pPr>
      <w:bookmarkStart w:id="1" w:name="_GoBack"/>
      <w:bookmarkEnd w:id="1"/>
      <w:bookmarkStart w:id="0" w:name="_Hlk218879797"/>
      <w:bookmarkEnd w:id="0"/>
      <w:r>
        <w:rPr>
          <w:rFonts w:hint="eastAsia" w:ascii="Times New Roman" w:hAnsi="Times New Roman" w:cs="Times New Roman"/>
          <w:b/>
          <w:bCs/>
          <w:sz w:val="28"/>
          <w:szCs w:val="28"/>
        </w:rPr>
        <w:t>Full-photolithographic high-density skin-like transistor arrays for all-organic active-matrix displays</w:t>
      </w:r>
      <w:r>
        <w:rPr>
          <w:rFonts w:ascii="Times New Roman" w:hAnsi="Times New Roman" w:cs="Times New Roman"/>
          <w:b/>
          <w:bCs/>
          <w:sz w:val="28"/>
          <w:szCs w:val="28"/>
        </w:rPr>
        <w:t xml:space="preserve"> </w:t>
      </w:r>
    </w:p>
    <w:p w14:paraId="141DD386">
      <w:pPr>
        <w:pStyle w:val="41"/>
        <w:spacing w:after="312" w:afterLines="100" w:line="360" w:lineRule="auto"/>
        <w:jc w:val="both"/>
        <w:rPr>
          <w:i w:val="0"/>
        </w:rPr>
      </w:pPr>
      <w:r>
        <w:rPr>
          <w:i w:val="0"/>
        </w:rPr>
        <w:t xml:space="preserve">Peng Xue, Juntong Li, Xiaoli Zhao*, Yanping Ni, Hongyan Yu, Xianghui Liu, Bowen Xiang, Yao Fu, </w:t>
      </w:r>
      <w:r>
        <w:rPr>
          <w:rFonts w:hint="eastAsia" w:eastAsiaTheme="minorEastAsia"/>
          <w:i w:val="0"/>
          <w:lang w:eastAsia="zh-CN"/>
        </w:rPr>
        <w:t xml:space="preserve">Junru Zhang, </w:t>
      </w:r>
      <w:r>
        <w:rPr>
          <w:i w:val="0"/>
        </w:rPr>
        <w:t xml:space="preserve">Pengbo Xi, Baoying Sun, </w:t>
      </w:r>
      <w:r>
        <w:rPr>
          <w:rFonts w:hint="eastAsia" w:eastAsiaTheme="minorEastAsia"/>
          <w:i w:val="0"/>
          <w:lang w:eastAsia="zh-CN"/>
        </w:rPr>
        <w:t>Xiang</w:t>
      </w:r>
      <w:r>
        <w:rPr>
          <w:i w:val="0"/>
        </w:rPr>
        <w:t xml:space="preserve"> </w:t>
      </w:r>
      <w:r>
        <w:rPr>
          <w:rFonts w:hint="eastAsia" w:eastAsiaTheme="minorEastAsia"/>
          <w:i w:val="0"/>
          <w:lang w:eastAsia="zh-CN"/>
        </w:rPr>
        <w:t>Song</w:t>
      </w:r>
      <w:r>
        <w:rPr>
          <w:i w:val="0"/>
        </w:rPr>
        <w:t xml:space="preserve">, Yijun Shi, </w:t>
      </w:r>
      <w:r>
        <w:rPr>
          <w:rFonts w:hint="eastAsia" w:eastAsiaTheme="minorEastAsia"/>
          <w:i w:val="0"/>
          <w:lang w:eastAsia="zh-CN"/>
        </w:rPr>
        <w:t xml:space="preserve">Guodong Zhao, </w:t>
      </w:r>
      <w:r>
        <w:rPr>
          <w:i w:val="0"/>
        </w:rPr>
        <w:t xml:space="preserve">Mingxin Zhang, Yanhong Tong, Qingxin Tang*, and Yichun Liu </w:t>
      </w:r>
    </w:p>
    <w:p w14:paraId="57486890">
      <w:pPr>
        <w:spacing w:line="360" w:lineRule="auto"/>
        <w:rPr>
          <w:rFonts w:ascii="Times New Roman" w:hAnsi="Times New Roman" w:eastAsia="等线" w:cs="Times New Roman"/>
          <w:color w:val="000000"/>
        </w:rPr>
      </w:pPr>
      <w:r>
        <w:rPr>
          <w:rFonts w:ascii="Times New Roman" w:hAnsi="Times New Roman" w:eastAsia="等线" w:cs="Times New Roman"/>
          <w:color w:val="000000"/>
        </w:rPr>
        <w:t>Center for State Key Laboratory of Integrated Optoelectronics, and Key Lab of UV-Emitting Materials and Technology of Ministry of Education, College of Physics, Northeast Normal University, 5268 Renmin Street, Changchun 130024, China</w:t>
      </w:r>
    </w:p>
    <w:p w14:paraId="0B019DB4">
      <w:pPr>
        <w:widowControl/>
        <w:spacing w:line="360" w:lineRule="auto"/>
        <w:jc w:val="left"/>
        <w:rPr>
          <w:rFonts w:hint="eastAsia"/>
        </w:rPr>
      </w:pPr>
      <w:r>
        <w:rPr>
          <w:rFonts w:ascii="Times New Roman" w:hAnsi="Times New Roman" w:cs="Times New Roman"/>
        </w:rPr>
        <w:t xml:space="preserve">*Corresponding author. </w:t>
      </w:r>
      <w:r>
        <w:rPr>
          <w:rFonts w:ascii="Times New Roman" w:hAnsi="Times New Roman" w:eastAsia="等线" w:cs="Times New Roman"/>
          <w:color w:val="000000"/>
        </w:rPr>
        <w:t>E-mail addresses: tangqx@nenu.edu.cn (Q. Tang), zhaoxl326@nenu.edu.cn (X. Zhao)</w:t>
      </w:r>
      <w:r>
        <w:rPr>
          <w:rFonts w:hint="eastAsia"/>
        </w:rPr>
        <w:br w:type="page"/>
      </w:r>
    </w:p>
    <w:p w14:paraId="580BA874">
      <w:pPr>
        <w:jc w:val="center"/>
        <w:rPr>
          <w:rFonts w:hint="eastAsia"/>
        </w:rPr>
      </w:pPr>
      <w:r>
        <w:rPr>
          <w:rFonts w:hint="eastAsia"/>
        </w:rPr>
        <w:drawing>
          <wp:inline distT="0" distB="0" distL="0" distR="0">
            <wp:extent cx="2279650" cy="2255520"/>
            <wp:effectExtent l="0" t="0" r="6350" b="0"/>
            <wp:docPr id="69244591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445914" name="图片 10"/>
                    <pic:cNvPicPr>
                      <a:picLocks noChangeAspect="1"/>
                    </pic:cNvPicPr>
                  </pic:nvPicPr>
                  <pic:blipFill>
                    <a:blip r:embed="rId4"/>
                    <a:srcRect l="23567" t="13809" r="33185" b="40356"/>
                    <a:stretch>
                      <a:fillRect/>
                    </a:stretch>
                  </pic:blipFill>
                  <pic:spPr>
                    <a:xfrm>
                      <a:off x="0" y="0"/>
                      <a:ext cx="2281052" cy="2256770"/>
                    </a:xfrm>
                    <a:prstGeom prst="rect">
                      <a:avLst/>
                    </a:prstGeom>
                    <a:ln>
                      <a:noFill/>
                    </a:ln>
                  </pic:spPr>
                </pic:pic>
              </a:graphicData>
            </a:graphic>
          </wp:inline>
        </w:drawing>
      </w:r>
    </w:p>
    <w:p w14:paraId="524A4E78">
      <w:pPr>
        <w:rPr>
          <w:rFonts w:ascii="Times New Roman" w:hAnsi="Times New Roman" w:cs="Times New Roman"/>
        </w:rPr>
      </w:pPr>
      <w:r>
        <w:rPr>
          <w:rFonts w:ascii="Times New Roman" w:hAnsi="Times New Roman" w:cs="Times New Roman"/>
          <w:b/>
          <w:bCs/>
        </w:rPr>
        <w:t>Figure S</w:t>
      </w:r>
      <w:r>
        <w:rPr>
          <w:rFonts w:hint="eastAsia" w:ascii="Times New Roman" w:hAnsi="Times New Roman" w:cs="Times New Roman"/>
          <w:b/>
          <w:bCs/>
        </w:rPr>
        <w:t>1</w:t>
      </w:r>
      <w:r>
        <w:rPr>
          <w:rFonts w:ascii="Times New Roman" w:hAnsi="Times New Roman" w:cs="Times New Roman"/>
        </w:rPr>
        <w:t xml:space="preserve">. </w:t>
      </w:r>
      <w:r>
        <w:rPr>
          <w:rFonts w:hint="eastAsia" w:ascii="Times New Roman" w:hAnsi="Times New Roman" w:cs="Times New Roman"/>
        </w:rPr>
        <w:t>Schematic illustrations of transistors with different configurations. (a) Bottom-gate top-contact structure. (b) Bottom-gate bottom-contact structure. In the top-contact configuration, the larger charge injection area between electrodes and semiconductor facilitates a larger effective contact area between the electrodes and the semiconductor, which is beneficial for charge injection.</w:t>
      </w:r>
      <w:r>
        <w:rPr>
          <w:rFonts w:ascii="Times New Roman" w:hAnsi="Times New Roman" w:cs="Times New Roman"/>
        </w:rPr>
        <w:t xml:space="preserve"> </w:t>
      </w:r>
    </w:p>
    <w:p w14:paraId="07B133C1">
      <w:pPr>
        <w:jc w:val="center"/>
        <w:rPr>
          <w:rFonts w:hint="eastAsia"/>
        </w:rPr>
      </w:pPr>
      <w:r>
        <w:rPr>
          <w:rFonts w:hint="eastAsia"/>
        </w:rPr>
        <w:drawing>
          <wp:inline distT="0" distB="0" distL="0" distR="0">
            <wp:extent cx="4786630" cy="3239770"/>
            <wp:effectExtent l="0" t="0" r="0" b="0"/>
            <wp:docPr id="2832219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221949" name="图片 1"/>
                    <pic:cNvPicPr>
                      <a:picLocks noChangeAspect="1"/>
                    </pic:cNvPicPr>
                  </pic:nvPicPr>
                  <pic:blipFill>
                    <a:blip r:embed="rId5"/>
                    <a:srcRect l="12664" r="12110"/>
                    <a:stretch>
                      <a:fillRect/>
                    </a:stretch>
                  </pic:blipFill>
                  <pic:spPr>
                    <a:xfrm>
                      <a:off x="0" y="0"/>
                      <a:ext cx="4787081" cy="3240000"/>
                    </a:xfrm>
                    <a:prstGeom prst="rect">
                      <a:avLst/>
                    </a:prstGeom>
                    <a:ln>
                      <a:noFill/>
                    </a:ln>
                  </pic:spPr>
                </pic:pic>
              </a:graphicData>
            </a:graphic>
          </wp:inline>
        </w:drawing>
      </w:r>
    </w:p>
    <w:p w14:paraId="2A06D8CA">
      <w:pPr>
        <w:rPr>
          <w:rFonts w:ascii="Times New Roman" w:hAnsi="Times New Roman" w:cs="Times New Roman"/>
        </w:rPr>
      </w:pPr>
      <w:r>
        <w:rPr>
          <w:rFonts w:ascii="Times New Roman" w:hAnsi="Times New Roman" w:cs="Times New Roman"/>
          <w:b/>
          <w:bCs/>
        </w:rPr>
        <w:t>Fig</w:t>
      </w:r>
      <w:r>
        <w:rPr>
          <w:rFonts w:hint="eastAsia" w:ascii="Times New Roman" w:hAnsi="Times New Roman" w:cs="Times New Roman"/>
          <w:b/>
          <w:bCs/>
        </w:rPr>
        <w:t>ure</w:t>
      </w:r>
      <w:r>
        <w:rPr>
          <w:rFonts w:ascii="Times New Roman" w:hAnsi="Times New Roman" w:cs="Times New Roman"/>
          <w:b/>
          <w:bCs/>
        </w:rPr>
        <w:t xml:space="preserve"> S</w:t>
      </w:r>
      <w:r>
        <w:rPr>
          <w:rFonts w:hint="eastAsia" w:ascii="Times New Roman" w:hAnsi="Times New Roman" w:cs="Times New Roman"/>
          <w:b/>
          <w:bCs/>
        </w:rPr>
        <w:t>2</w:t>
      </w:r>
      <w:r>
        <w:rPr>
          <w:rFonts w:ascii="Times New Roman" w:hAnsi="Times New Roman" w:cs="Times New Roman"/>
          <w:b/>
          <w:bCs/>
        </w:rPr>
        <w:t>.</w:t>
      </w:r>
      <w:r>
        <w:rPr>
          <w:rFonts w:hint="eastAsia" w:ascii="Times New Roman" w:hAnsi="Times New Roman" w:cs="Times New Roman"/>
          <w:b/>
          <w:bCs/>
        </w:rPr>
        <w:t xml:space="preserve"> </w:t>
      </w:r>
      <w:r>
        <w:rPr>
          <w:rFonts w:hint="eastAsia" w:ascii="Times New Roman" w:hAnsi="Times New Roman" w:cs="Times New Roman"/>
        </w:rPr>
        <w:t>(a) Atomic force microscopy (AFM) images of organic semiconductor films in the pristine state, after patterning with a dual-protective layer, and after patterning without a protective layer. (b) Transfer characteristics of transistors fabricated on organic semiconductor films under different processing conditions. (c) Statistical comparison of field-effect mobility extracted from multiple devices.</w:t>
      </w:r>
    </w:p>
    <w:p w14:paraId="1D74A5B8">
      <w:pPr>
        <w:jc w:val="center"/>
        <w:rPr>
          <w:rFonts w:hint="eastAsia"/>
        </w:rPr>
      </w:pPr>
    </w:p>
    <w:p w14:paraId="341B24A4">
      <w:pPr>
        <w:jc w:val="center"/>
        <w:rPr>
          <w:rFonts w:hint="eastAsia"/>
        </w:rPr>
      </w:pPr>
      <w:r>
        <w:rPr>
          <w:rFonts w:hint="eastAsia"/>
        </w:rPr>
        <w:t xml:space="preserve">     </w:t>
      </w:r>
      <w:r>
        <w:rPr>
          <w:rFonts w:hint="eastAsia"/>
        </w:rPr>
        <w:drawing>
          <wp:inline distT="0" distB="0" distL="0" distR="0">
            <wp:extent cx="2668905" cy="2159635"/>
            <wp:effectExtent l="0" t="0" r="0" b="0"/>
            <wp:docPr id="200151258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512588" name="图片 11"/>
                    <pic:cNvPicPr>
                      <a:picLocks noChangeAspect="1"/>
                    </pic:cNvPicPr>
                  </pic:nvPicPr>
                  <pic:blipFill>
                    <a:blip r:embed="rId6"/>
                    <a:srcRect l="27011" t="25595" r="29859" b="37022"/>
                    <a:stretch>
                      <a:fillRect/>
                    </a:stretch>
                  </pic:blipFill>
                  <pic:spPr>
                    <a:xfrm>
                      <a:off x="0" y="0"/>
                      <a:ext cx="2669491" cy="2160000"/>
                    </a:xfrm>
                    <a:prstGeom prst="rect">
                      <a:avLst/>
                    </a:prstGeom>
                    <a:ln>
                      <a:noFill/>
                    </a:ln>
                  </pic:spPr>
                </pic:pic>
              </a:graphicData>
            </a:graphic>
          </wp:inline>
        </w:drawing>
      </w:r>
    </w:p>
    <w:p w14:paraId="105983E5">
      <w:pPr>
        <w:rPr>
          <w:rFonts w:ascii="Times New Roman" w:hAnsi="Times New Roman" w:cs="Times New Roman"/>
        </w:rPr>
      </w:pPr>
      <w:r>
        <w:rPr>
          <w:rFonts w:ascii="Times New Roman" w:hAnsi="Times New Roman" w:cs="Times New Roman"/>
          <w:b/>
          <w:bCs/>
        </w:rPr>
        <w:t>Fig</w:t>
      </w:r>
      <w:r>
        <w:rPr>
          <w:rFonts w:hint="eastAsia" w:ascii="Times New Roman" w:hAnsi="Times New Roman" w:cs="Times New Roman"/>
          <w:b/>
          <w:bCs/>
        </w:rPr>
        <w:t>ure</w:t>
      </w:r>
      <w:r>
        <w:rPr>
          <w:rFonts w:ascii="Times New Roman" w:hAnsi="Times New Roman" w:cs="Times New Roman"/>
          <w:b/>
          <w:bCs/>
        </w:rPr>
        <w:t xml:space="preserve"> S</w:t>
      </w:r>
      <w:r>
        <w:rPr>
          <w:rFonts w:hint="eastAsia" w:ascii="Times New Roman" w:hAnsi="Times New Roman" w:cs="Times New Roman"/>
          <w:b/>
          <w:bCs/>
        </w:rPr>
        <w:t>3</w:t>
      </w:r>
      <w:r>
        <w:rPr>
          <w:rFonts w:ascii="Times New Roman" w:hAnsi="Times New Roman" w:cs="Times New Roman"/>
          <w:b/>
          <w:bCs/>
        </w:rPr>
        <w:t>.</w:t>
      </w:r>
      <w:r>
        <w:rPr>
          <w:rFonts w:hint="eastAsia" w:ascii="Times New Roman" w:hAnsi="Times New Roman" w:cs="Times New Roman"/>
          <w:b/>
          <w:bCs/>
        </w:rPr>
        <w:t xml:space="preserve"> </w:t>
      </w:r>
      <w:r>
        <w:rPr>
          <w:rFonts w:hint="eastAsia" w:ascii="Times New Roman" w:hAnsi="Times New Roman" w:cs="Times New Roman"/>
        </w:rPr>
        <w:t>Comparison of leakage current characteristics of OTFTs fabricated with and without the dual-protective-layer photolithography process. Patterned semiconductors effectively suppress transistor leakage current and supporting the electrical stability of high-density integrated arrays.</w:t>
      </w:r>
    </w:p>
    <w:p w14:paraId="3E4B7EF3">
      <w:pPr>
        <w:rPr>
          <w:rFonts w:ascii="Times New Roman" w:hAnsi="Times New Roman" w:cs="Times New Roman"/>
        </w:rPr>
      </w:pPr>
    </w:p>
    <w:p w14:paraId="01DC7181">
      <w:pPr>
        <w:rPr>
          <w:rFonts w:ascii="Times New Roman" w:hAnsi="Times New Roman" w:cs="Times New Roman"/>
        </w:rPr>
      </w:pPr>
    </w:p>
    <w:p w14:paraId="3B463E17">
      <w:pPr>
        <w:rPr>
          <w:rFonts w:ascii="Times New Roman" w:hAnsi="Times New Roman" w:cs="Times New Roman"/>
        </w:rPr>
      </w:pPr>
    </w:p>
    <w:p w14:paraId="03BB7A4B">
      <w:pPr>
        <w:rPr>
          <w:rFonts w:ascii="Times New Roman" w:hAnsi="Times New Roman" w:cs="Times New Roman"/>
        </w:rPr>
      </w:pPr>
    </w:p>
    <w:p w14:paraId="55259346">
      <w:pPr>
        <w:spacing w:line="480" w:lineRule="auto"/>
        <w:jc w:val="center"/>
        <w:rPr>
          <w:rFonts w:ascii="Times New Roman" w:hAnsi="Times New Roman" w:cs="Times New Roman"/>
        </w:rPr>
      </w:pPr>
      <w:r>
        <w:rPr>
          <w:rFonts w:ascii="Times New Roman" w:hAnsi="Times New Roman" w:cs="Times New Roman"/>
        </w:rPr>
        <w:drawing>
          <wp:inline distT="0" distB="0" distL="0" distR="0">
            <wp:extent cx="4457700" cy="2159635"/>
            <wp:effectExtent l="0" t="0" r="0" b="0"/>
            <wp:docPr id="13959382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938274" name="图片 1"/>
                    <pic:cNvPicPr>
                      <a:picLocks noChangeAspect="1"/>
                    </pic:cNvPicPr>
                  </pic:nvPicPr>
                  <pic:blipFill>
                    <a:blip r:embed="rId7"/>
                    <a:srcRect l="19892" t="10221" r="22810" b="60040"/>
                    <a:stretch>
                      <a:fillRect/>
                    </a:stretch>
                  </pic:blipFill>
                  <pic:spPr>
                    <a:xfrm>
                      <a:off x="0" y="0"/>
                      <a:ext cx="4457718" cy="2160000"/>
                    </a:xfrm>
                    <a:prstGeom prst="rect">
                      <a:avLst/>
                    </a:prstGeom>
                    <a:ln>
                      <a:noFill/>
                    </a:ln>
                  </pic:spPr>
                </pic:pic>
              </a:graphicData>
            </a:graphic>
          </wp:inline>
        </w:drawing>
      </w:r>
    </w:p>
    <w:p w14:paraId="1D8FCF48">
      <w:pPr>
        <w:rPr>
          <w:rFonts w:ascii="Times New Roman" w:hAnsi="Times New Roman" w:cs="Times New Roman"/>
        </w:rPr>
      </w:pPr>
      <w:r>
        <w:rPr>
          <w:rFonts w:ascii="Times New Roman" w:hAnsi="Times New Roman" w:cs="Times New Roman"/>
          <w:b/>
          <w:bCs/>
        </w:rPr>
        <w:t>Fig</w:t>
      </w:r>
      <w:r>
        <w:rPr>
          <w:rFonts w:hint="eastAsia" w:ascii="Times New Roman" w:hAnsi="Times New Roman" w:cs="Times New Roman"/>
          <w:b/>
          <w:bCs/>
        </w:rPr>
        <w:t>ure</w:t>
      </w:r>
      <w:r>
        <w:rPr>
          <w:rFonts w:ascii="Times New Roman" w:hAnsi="Times New Roman" w:cs="Times New Roman"/>
          <w:b/>
          <w:bCs/>
        </w:rPr>
        <w:t xml:space="preserve"> S</w:t>
      </w:r>
      <w:r>
        <w:rPr>
          <w:rFonts w:hint="eastAsia" w:ascii="Times New Roman" w:hAnsi="Times New Roman" w:cs="Times New Roman"/>
          <w:b/>
          <w:bCs/>
        </w:rPr>
        <w:t>4</w:t>
      </w:r>
      <w:r>
        <w:rPr>
          <w:rFonts w:ascii="Times New Roman" w:hAnsi="Times New Roman" w:cs="Times New Roman"/>
          <w:b/>
          <w:bCs/>
        </w:rPr>
        <w:t>.</w:t>
      </w:r>
      <w:r>
        <w:t xml:space="preserve"> </w:t>
      </w:r>
      <w:r>
        <w:rPr>
          <w:rFonts w:hint="eastAsia" w:ascii="Times New Roman" w:hAnsi="Times New Roman" w:cs="Times New Roman"/>
        </w:rPr>
        <w:t>a) Transfer curve of the unpatterned semiconductor device. b) Transfer curve of the patterned semiconductor device. Precisely patterned semiconductors can minimize crosstalk between adjacent pixels, reduce the device</w:t>
      </w:r>
      <w:r>
        <w:rPr>
          <w:rFonts w:ascii="Times New Roman" w:hAnsi="Times New Roman" w:cs="Times New Roman"/>
        </w:rPr>
        <w:t>’</w:t>
      </w:r>
      <w:r>
        <w:rPr>
          <w:rFonts w:hint="eastAsia" w:ascii="Times New Roman" w:hAnsi="Times New Roman" w:cs="Times New Roman"/>
        </w:rPr>
        <w:t>s off-state current, and thereby enabling independent switching and effective signal addressing of the device.</w:t>
      </w:r>
    </w:p>
    <w:p w14:paraId="32914786">
      <w:pPr>
        <w:widowControl/>
        <w:jc w:val="left"/>
        <w:rPr>
          <w:rFonts w:ascii="Times New Roman" w:hAnsi="Times New Roman" w:cs="Times New Roman"/>
        </w:rPr>
      </w:pPr>
      <w:r>
        <w:rPr>
          <w:rFonts w:ascii="Times New Roman" w:hAnsi="Times New Roman" w:cs="Times New Roman"/>
        </w:rPr>
        <w:br w:type="page"/>
      </w:r>
    </w:p>
    <w:p w14:paraId="58717A27">
      <w:pPr>
        <w:jc w:val="center"/>
        <w:rPr>
          <w:rFonts w:ascii="Times New Roman" w:hAnsi="Times New Roman" w:cs="Times New Roman"/>
        </w:rPr>
      </w:pPr>
      <w:r>
        <w:rPr>
          <w:rFonts w:hint="eastAsia" w:ascii="Times New Roman" w:hAnsi="Times New Roman" w:cs="Times New Roman"/>
        </w:rPr>
        <w:drawing>
          <wp:inline distT="0" distB="0" distL="0" distR="0">
            <wp:extent cx="3289300" cy="2160270"/>
            <wp:effectExtent l="0" t="0" r="6350" b="0"/>
            <wp:docPr id="145672094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720940" name="图片 2"/>
                    <pic:cNvPicPr>
                      <a:picLocks noChangeAspect="1"/>
                    </pic:cNvPicPr>
                  </pic:nvPicPr>
                  <pic:blipFill>
                    <a:blip r:embed="rId8"/>
                    <a:srcRect l="1961" r="23824" b="4312"/>
                    <a:stretch>
                      <a:fillRect/>
                    </a:stretch>
                  </pic:blipFill>
                  <pic:spPr>
                    <a:xfrm>
                      <a:off x="0" y="0"/>
                      <a:ext cx="3293207" cy="2162836"/>
                    </a:xfrm>
                    <a:prstGeom prst="rect">
                      <a:avLst/>
                    </a:prstGeom>
                    <a:ln>
                      <a:noFill/>
                    </a:ln>
                  </pic:spPr>
                </pic:pic>
              </a:graphicData>
            </a:graphic>
          </wp:inline>
        </w:drawing>
      </w:r>
      <w:r>
        <w:rPr>
          <w:rFonts w:ascii="Times New Roman" w:hAnsi="Times New Roman" w:cs="Times New Roman"/>
        </w:rPr>
        <w:drawing>
          <wp:inline distT="0" distB="0" distL="0" distR="0">
            <wp:extent cx="3295650" cy="2314575"/>
            <wp:effectExtent l="0" t="0" r="0" b="9525"/>
            <wp:docPr id="1271650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65090" name="图片 1"/>
                    <pic:cNvPicPr>
                      <a:picLocks noChangeAspect="1"/>
                    </pic:cNvPicPr>
                  </pic:nvPicPr>
                  <pic:blipFill>
                    <a:blip r:embed="rId9"/>
                    <a:srcRect l="967" t="1310" r="27500" b="-1"/>
                    <a:stretch>
                      <a:fillRect/>
                    </a:stretch>
                  </pic:blipFill>
                  <pic:spPr>
                    <a:xfrm>
                      <a:off x="0" y="0"/>
                      <a:ext cx="3302555" cy="2319861"/>
                    </a:xfrm>
                    <a:prstGeom prst="rect">
                      <a:avLst/>
                    </a:prstGeom>
                    <a:ln>
                      <a:noFill/>
                    </a:ln>
                  </pic:spPr>
                </pic:pic>
              </a:graphicData>
            </a:graphic>
          </wp:inline>
        </w:drawing>
      </w:r>
    </w:p>
    <w:p w14:paraId="1580ACCE">
      <w:pPr>
        <w:jc w:val="center"/>
        <w:rPr>
          <w:rFonts w:ascii="Times New Roman" w:hAnsi="Times New Roman" w:cs="Times New Roman"/>
        </w:rPr>
      </w:pPr>
    </w:p>
    <w:p w14:paraId="76C782E0">
      <w:pPr>
        <w:jc w:val="left"/>
        <w:rPr>
          <w:rFonts w:ascii="Times New Roman" w:hAnsi="Times New Roman" w:cs="Times New Roman"/>
        </w:rPr>
      </w:pPr>
      <w:r>
        <w:rPr>
          <w:rFonts w:ascii="Times New Roman" w:hAnsi="Times New Roman" w:cs="Times New Roman"/>
          <w:b/>
          <w:bCs/>
        </w:rPr>
        <w:t>Fig</w:t>
      </w:r>
      <w:r>
        <w:rPr>
          <w:rFonts w:hint="eastAsia" w:ascii="Times New Roman" w:hAnsi="Times New Roman" w:cs="Times New Roman"/>
          <w:b/>
          <w:bCs/>
        </w:rPr>
        <w:t>ure</w:t>
      </w:r>
      <w:r>
        <w:rPr>
          <w:rFonts w:ascii="Times New Roman" w:hAnsi="Times New Roman" w:cs="Times New Roman"/>
          <w:b/>
          <w:bCs/>
        </w:rPr>
        <w:t xml:space="preserve"> S</w:t>
      </w:r>
      <w:r>
        <w:rPr>
          <w:rFonts w:hint="eastAsia" w:ascii="Times New Roman" w:hAnsi="Times New Roman" w:cs="Times New Roman"/>
          <w:b/>
          <w:bCs/>
        </w:rPr>
        <w:t>5.</w:t>
      </w:r>
      <w:r>
        <w:rPr>
          <w:rFonts w:hint="eastAsia" w:ascii="Times New Roman" w:hAnsi="Times New Roman" w:cs="Times New Roman"/>
        </w:rPr>
        <w:t xml:space="preserve"> Schematic diagram comparing existing photolithographic processes for organic semiconductors with the photolithographic process employing a dual-protection.</w:t>
      </w:r>
    </w:p>
    <w:p w14:paraId="592FC151">
      <w:pPr>
        <w:jc w:val="left"/>
        <w:rPr>
          <w:rFonts w:ascii="Times New Roman" w:hAnsi="Times New Roman" w:cs="Times New Roman"/>
        </w:rPr>
      </w:pPr>
    </w:p>
    <w:p w14:paraId="753ECB3E">
      <w:pPr>
        <w:jc w:val="center"/>
        <w:rPr>
          <w:rFonts w:ascii="Times New Roman" w:hAnsi="Times New Roman" w:cs="Times New Roman"/>
        </w:rPr>
      </w:pPr>
      <w:r>
        <w:rPr>
          <w:rFonts w:ascii="Times New Roman" w:hAnsi="Times New Roman" w:cs="Times New Roman"/>
        </w:rPr>
        <w:drawing>
          <wp:inline distT="0" distB="0" distL="0" distR="0">
            <wp:extent cx="4165600" cy="2699385"/>
            <wp:effectExtent l="0" t="0" r="6350" b="5715"/>
            <wp:docPr id="10582063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206349" name="图片 1"/>
                    <pic:cNvPicPr>
                      <a:picLocks noChangeAspect="1"/>
                    </pic:cNvPicPr>
                  </pic:nvPicPr>
                  <pic:blipFill>
                    <a:blip r:embed="rId10"/>
                    <a:srcRect t="8512" b="22068"/>
                    <a:stretch>
                      <a:fillRect/>
                    </a:stretch>
                  </pic:blipFill>
                  <pic:spPr>
                    <a:xfrm>
                      <a:off x="0" y="0"/>
                      <a:ext cx="4166227" cy="2700000"/>
                    </a:xfrm>
                    <a:prstGeom prst="rect">
                      <a:avLst/>
                    </a:prstGeom>
                    <a:ln>
                      <a:noFill/>
                    </a:ln>
                  </pic:spPr>
                </pic:pic>
              </a:graphicData>
            </a:graphic>
          </wp:inline>
        </w:drawing>
      </w:r>
    </w:p>
    <w:p w14:paraId="6DF19154">
      <w:pPr>
        <w:jc w:val="left"/>
        <w:rPr>
          <w:rFonts w:ascii="Times New Roman" w:hAnsi="Times New Roman" w:cs="Times New Roman"/>
        </w:rPr>
      </w:pPr>
      <w:r>
        <w:rPr>
          <w:rFonts w:ascii="Times New Roman" w:hAnsi="Times New Roman" w:cs="Times New Roman"/>
        </w:rPr>
        <w:cr/>
      </w:r>
      <w:r>
        <w:rPr>
          <w:rFonts w:ascii="Times New Roman" w:hAnsi="Times New Roman" w:cs="Times New Roman"/>
          <w:b/>
          <w:bCs/>
        </w:rPr>
        <w:t>Fig</w:t>
      </w:r>
      <w:r>
        <w:rPr>
          <w:rFonts w:hint="eastAsia" w:ascii="Times New Roman" w:hAnsi="Times New Roman" w:cs="Times New Roman"/>
          <w:b/>
          <w:bCs/>
        </w:rPr>
        <w:t>ure</w:t>
      </w:r>
      <w:r>
        <w:rPr>
          <w:rFonts w:ascii="Times New Roman" w:hAnsi="Times New Roman" w:cs="Times New Roman"/>
          <w:b/>
          <w:bCs/>
        </w:rPr>
        <w:t xml:space="preserve"> S</w:t>
      </w:r>
      <w:r>
        <w:rPr>
          <w:rFonts w:hint="eastAsia" w:ascii="Times New Roman" w:hAnsi="Times New Roman" w:cs="Times New Roman"/>
          <w:b/>
          <w:bCs/>
        </w:rPr>
        <w:t>6.</w:t>
      </w:r>
      <w:r>
        <w:rPr>
          <w:rFonts w:hint="eastAsia" w:ascii="Times New Roman" w:hAnsi="Times New Roman" w:cs="Times New Roman"/>
        </w:rPr>
        <w:t xml:space="preserve"> </w:t>
      </w:r>
      <w:r>
        <w:rPr>
          <w:rFonts w:ascii="Times New Roman" w:hAnsi="Times New Roman" w:cs="Times New Roman"/>
        </w:rPr>
        <w:t xml:space="preserve">Schematic illustration of the full-photolithographic fabrication process for </w:t>
      </w:r>
      <w:r>
        <w:rPr>
          <w:rFonts w:hint="eastAsia" w:ascii="Times New Roman" w:hAnsi="Times New Roman" w:cs="Times New Roman"/>
        </w:rPr>
        <w:t>skin-like</w:t>
      </w:r>
      <w:r>
        <w:rPr>
          <w:rFonts w:ascii="Times New Roman" w:hAnsi="Times New Roman" w:cs="Times New Roman"/>
        </w:rPr>
        <w:t xml:space="preserve"> OTFT active-matrix arrays.</w:t>
      </w:r>
    </w:p>
    <w:p w14:paraId="0EC890A0">
      <w:pPr>
        <w:jc w:val="center"/>
        <w:rPr>
          <w:rFonts w:ascii="Times New Roman" w:hAnsi="Times New Roman" w:cs="Times New Roman"/>
        </w:rPr>
      </w:pPr>
      <w:r>
        <w:rPr>
          <w:rFonts w:ascii="Times New Roman" w:hAnsi="Times New Roman" w:cs="Times New Roman"/>
        </w:rPr>
        <w:drawing>
          <wp:inline distT="0" distB="0" distL="0" distR="0">
            <wp:extent cx="5274310" cy="1905000"/>
            <wp:effectExtent l="0" t="0" r="2540" b="0"/>
            <wp:docPr id="1214655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65519" name="图片 1"/>
                    <pic:cNvPicPr>
                      <a:picLocks noChangeAspect="1"/>
                    </pic:cNvPicPr>
                  </pic:nvPicPr>
                  <pic:blipFill>
                    <a:blip r:embed="rId11"/>
                    <a:srcRect t="9543" b="51767"/>
                    <a:stretch>
                      <a:fillRect/>
                    </a:stretch>
                  </pic:blipFill>
                  <pic:spPr>
                    <a:xfrm>
                      <a:off x="0" y="0"/>
                      <a:ext cx="5274310" cy="1905000"/>
                    </a:xfrm>
                    <a:prstGeom prst="rect">
                      <a:avLst/>
                    </a:prstGeom>
                    <a:ln>
                      <a:noFill/>
                    </a:ln>
                  </pic:spPr>
                </pic:pic>
              </a:graphicData>
            </a:graphic>
          </wp:inline>
        </w:drawing>
      </w:r>
    </w:p>
    <w:p w14:paraId="2487FF62">
      <w:pPr>
        <w:rPr>
          <w:rFonts w:ascii="Times New Roman" w:hAnsi="Times New Roman" w:cs="Times New Roman"/>
        </w:rPr>
      </w:pPr>
      <w:r>
        <w:rPr>
          <w:rFonts w:ascii="Times New Roman" w:hAnsi="Times New Roman" w:cs="Times New Roman"/>
          <w:b/>
          <w:bCs/>
        </w:rPr>
        <w:t>Fig</w:t>
      </w:r>
      <w:r>
        <w:rPr>
          <w:rFonts w:hint="eastAsia" w:ascii="Times New Roman" w:hAnsi="Times New Roman" w:cs="Times New Roman"/>
          <w:b/>
          <w:bCs/>
        </w:rPr>
        <w:t>ure</w:t>
      </w:r>
      <w:r>
        <w:rPr>
          <w:rFonts w:ascii="Times New Roman" w:hAnsi="Times New Roman" w:cs="Times New Roman"/>
          <w:b/>
          <w:bCs/>
        </w:rPr>
        <w:t xml:space="preserve"> S</w:t>
      </w:r>
      <w:r>
        <w:rPr>
          <w:rFonts w:hint="eastAsia" w:ascii="Times New Roman" w:hAnsi="Times New Roman" w:cs="Times New Roman"/>
          <w:b/>
          <w:bCs/>
        </w:rPr>
        <w:t>7.</w:t>
      </w:r>
      <w:r>
        <w:t xml:space="preserve"> </w:t>
      </w:r>
      <w:r>
        <w:rPr>
          <w:rFonts w:hint="eastAsia" w:ascii="Times New Roman" w:hAnsi="Times New Roman" w:cs="Times New Roman"/>
        </w:rPr>
        <w:t>(a) The functional relationship between the folding cycles and the normalized mobility. (b) The functional relationship between the strain and the electrical properties of OTFT.</w:t>
      </w:r>
    </w:p>
    <w:p w14:paraId="7DDE77DA">
      <w:pPr>
        <w:jc w:val="center"/>
        <w:rPr>
          <w:rFonts w:ascii="Times New Roman" w:hAnsi="Times New Roman" w:cs="Times New Roman"/>
        </w:rPr>
      </w:pPr>
      <w:r>
        <w:rPr>
          <w:rFonts w:ascii="Times New Roman" w:hAnsi="Times New Roman" w:cs="Times New Roman"/>
        </w:rPr>
        <w:drawing>
          <wp:inline distT="0" distB="0" distL="0" distR="0">
            <wp:extent cx="3293745" cy="2159635"/>
            <wp:effectExtent l="0" t="0" r="1905" b="0"/>
            <wp:docPr id="29954867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548672" name="图片 2"/>
                    <pic:cNvPicPr>
                      <a:picLocks noChangeAspect="1"/>
                    </pic:cNvPicPr>
                  </pic:nvPicPr>
                  <pic:blipFill>
                    <a:blip r:embed="rId12"/>
                    <a:srcRect l="27089" t="26438" r="24994" b="39902"/>
                    <a:stretch>
                      <a:fillRect/>
                    </a:stretch>
                  </pic:blipFill>
                  <pic:spPr>
                    <a:xfrm>
                      <a:off x="0" y="0"/>
                      <a:ext cx="3293793" cy="2160000"/>
                    </a:xfrm>
                    <a:prstGeom prst="rect">
                      <a:avLst/>
                    </a:prstGeom>
                    <a:ln>
                      <a:noFill/>
                    </a:ln>
                  </pic:spPr>
                </pic:pic>
              </a:graphicData>
            </a:graphic>
          </wp:inline>
        </w:drawing>
      </w:r>
    </w:p>
    <w:p w14:paraId="6A45D315">
      <w:pPr>
        <w:jc w:val="center"/>
        <w:rPr>
          <w:rFonts w:ascii="Times New Roman" w:hAnsi="Times New Roman" w:cs="Times New Roman"/>
        </w:rPr>
      </w:pPr>
    </w:p>
    <w:p w14:paraId="153FDD32">
      <w:pPr>
        <w:jc w:val="left"/>
        <w:rPr>
          <w:rFonts w:ascii="Times New Roman" w:hAnsi="Times New Roman" w:cs="Times New Roman"/>
        </w:rPr>
      </w:pPr>
      <w:r>
        <w:rPr>
          <w:rFonts w:ascii="Times New Roman" w:hAnsi="Times New Roman" w:cs="Times New Roman"/>
          <w:b/>
          <w:bCs/>
        </w:rPr>
        <w:t>Fig</w:t>
      </w:r>
      <w:r>
        <w:rPr>
          <w:rFonts w:hint="eastAsia" w:ascii="Times New Roman" w:hAnsi="Times New Roman" w:cs="Times New Roman"/>
          <w:b/>
          <w:bCs/>
        </w:rPr>
        <w:t>ure</w:t>
      </w:r>
      <w:r>
        <w:rPr>
          <w:rFonts w:ascii="Times New Roman" w:hAnsi="Times New Roman" w:cs="Times New Roman"/>
          <w:b/>
          <w:bCs/>
        </w:rPr>
        <w:t xml:space="preserve"> S</w:t>
      </w:r>
      <w:r>
        <w:rPr>
          <w:rFonts w:hint="eastAsia" w:ascii="Times New Roman" w:hAnsi="Times New Roman" w:cs="Times New Roman"/>
          <w:b/>
          <w:bCs/>
        </w:rPr>
        <w:t>8.</w:t>
      </w:r>
      <w:r>
        <w:t xml:space="preserve"> </w:t>
      </w:r>
      <w:r>
        <w:rPr>
          <w:rFonts w:hint="eastAsia" w:ascii="Times New Roman" w:hAnsi="Times New Roman" w:cs="Times New Roman"/>
        </w:rPr>
        <w:t>Contact resistance extracted by the transmission line method (TLM) for DC 1-2577-based devices before and after PFBT modification</w:t>
      </w:r>
      <w:r>
        <w:rPr>
          <w:rFonts w:hint="eastAsia" w:ascii="Times New Roman" w:hAnsi="Times New Roman" w:cs="Times New Roman"/>
          <w:sz w:val="24"/>
          <w:szCs w:val="24"/>
        </w:rPr>
        <w:t xml:space="preserve"> (</w:t>
      </w:r>
      <w:r>
        <w:rPr>
          <w:rFonts w:hint="eastAsia" w:ascii="Times New Roman" w:hAnsi="Times New Roman" w:cs="Times New Roman"/>
          <w:i/>
          <w:iCs/>
          <w:szCs w:val="21"/>
        </w:rPr>
        <w:t>V</w:t>
      </w:r>
      <w:r>
        <w:rPr>
          <w:rFonts w:hint="eastAsia" w:ascii="Times New Roman" w:hAnsi="Times New Roman" w:cs="Times New Roman"/>
          <w:szCs w:val="21"/>
          <w:vertAlign w:val="subscript"/>
        </w:rPr>
        <w:t>G</w:t>
      </w:r>
      <w:r>
        <w:rPr>
          <w:rFonts w:hint="eastAsia" w:ascii="Times New Roman" w:hAnsi="Times New Roman" w:cs="Times New Roman"/>
          <w:szCs w:val="21"/>
        </w:rPr>
        <w:t xml:space="preserve"> = -18 V, </w:t>
      </w:r>
      <w:r>
        <w:rPr>
          <w:rFonts w:hint="eastAsia" w:ascii="Times New Roman" w:hAnsi="Times New Roman" w:cs="Times New Roman"/>
          <w:i/>
          <w:iCs/>
          <w:szCs w:val="21"/>
        </w:rPr>
        <w:t>V</w:t>
      </w:r>
      <w:r>
        <w:rPr>
          <w:rFonts w:hint="eastAsia" w:ascii="Times New Roman" w:hAnsi="Times New Roman" w:cs="Times New Roman"/>
          <w:szCs w:val="21"/>
          <w:vertAlign w:val="subscript"/>
        </w:rPr>
        <w:t xml:space="preserve">D </w:t>
      </w:r>
      <w:r>
        <w:rPr>
          <w:rFonts w:hint="eastAsia" w:ascii="Times New Roman" w:hAnsi="Times New Roman" w:cs="Times New Roman"/>
          <w:szCs w:val="21"/>
        </w:rPr>
        <w:t>= -1 V</w:t>
      </w:r>
      <w:r>
        <w:rPr>
          <w:rFonts w:hint="eastAsia" w:ascii="Times New Roman" w:hAnsi="Times New Roman" w:cs="Times New Roman"/>
          <w:sz w:val="24"/>
          <w:szCs w:val="24"/>
        </w:rPr>
        <w:t>)</w:t>
      </w:r>
      <w:r>
        <w:rPr>
          <w:rFonts w:hint="eastAsia" w:ascii="Times New Roman" w:hAnsi="Times New Roman" w:cs="Times New Roman"/>
        </w:rPr>
        <w:t>.</w:t>
      </w:r>
    </w:p>
    <w:p w14:paraId="322BF8FA">
      <w:pPr>
        <w:spacing w:line="480" w:lineRule="auto"/>
        <w:jc w:val="center"/>
        <w:rPr>
          <w:rFonts w:ascii="Times New Roman" w:hAnsi="Times New Roman" w:cs="Times New Roman"/>
        </w:rPr>
      </w:pPr>
      <w:r>
        <w:rPr>
          <w:rFonts w:ascii="Times New Roman" w:hAnsi="Times New Roman" w:cs="Times New Roman"/>
        </w:rPr>
        <w:drawing>
          <wp:inline distT="0" distB="0" distL="0" distR="0">
            <wp:extent cx="5273040" cy="2016125"/>
            <wp:effectExtent l="0" t="0" r="3810" b="3175"/>
            <wp:docPr id="141586380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863806" name="图片 5"/>
                    <pic:cNvPicPr>
                      <a:picLocks noChangeAspect="1"/>
                    </pic:cNvPicPr>
                  </pic:nvPicPr>
                  <pic:blipFill>
                    <a:blip r:embed="rId13"/>
                    <a:srcRect t="12976" b="46068"/>
                    <a:stretch>
                      <a:fillRect/>
                    </a:stretch>
                  </pic:blipFill>
                  <pic:spPr>
                    <a:xfrm>
                      <a:off x="0" y="0"/>
                      <a:ext cx="5274310" cy="2016622"/>
                    </a:xfrm>
                    <a:prstGeom prst="rect">
                      <a:avLst/>
                    </a:prstGeom>
                    <a:ln>
                      <a:noFill/>
                    </a:ln>
                  </pic:spPr>
                </pic:pic>
              </a:graphicData>
            </a:graphic>
          </wp:inline>
        </w:drawing>
      </w:r>
    </w:p>
    <w:p w14:paraId="5BFB60CA">
      <w:pPr>
        <w:rPr>
          <w:rFonts w:ascii="Times New Roman" w:hAnsi="Times New Roman" w:cs="Times New Roman"/>
        </w:rPr>
      </w:pPr>
      <w:r>
        <w:rPr>
          <w:rFonts w:ascii="Times New Roman" w:hAnsi="Times New Roman" w:cs="Times New Roman"/>
          <w:b/>
          <w:bCs/>
        </w:rPr>
        <w:t>Fig</w:t>
      </w:r>
      <w:r>
        <w:rPr>
          <w:rFonts w:hint="eastAsia" w:ascii="Times New Roman" w:hAnsi="Times New Roman" w:cs="Times New Roman"/>
          <w:b/>
          <w:bCs/>
        </w:rPr>
        <w:t>ure</w:t>
      </w:r>
      <w:r>
        <w:rPr>
          <w:rFonts w:ascii="Times New Roman" w:hAnsi="Times New Roman" w:cs="Times New Roman"/>
          <w:b/>
          <w:bCs/>
        </w:rPr>
        <w:t xml:space="preserve"> S</w:t>
      </w:r>
      <w:r>
        <w:rPr>
          <w:rFonts w:hint="eastAsia" w:ascii="Times New Roman" w:hAnsi="Times New Roman" w:cs="Times New Roman"/>
          <w:b/>
          <w:bCs/>
        </w:rPr>
        <w:t>9.</w:t>
      </w:r>
      <w:r>
        <w:t xml:space="preserve"> </w:t>
      </w:r>
      <w:r>
        <w:rPr>
          <w:rFonts w:ascii="Times New Roman" w:hAnsi="Times New Roman" w:cs="Times New Roman"/>
        </w:rPr>
        <w:t>Surface morphology and roughness evolution of PMMA dielectric films before and after oxygen plasma treatment.</w:t>
      </w:r>
    </w:p>
    <w:p w14:paraId="55BD1AA5">
      <w:pPr>
        <w:widowControl/>
        <w:jc w:val="center"/>
        <w:rPr>
          <w:rFonts w:ascii="Times New Roman" w:hAnsi="Times New Roman" w:cs="Times New Roman"/>
        </w:rPr>
      </w:pPr>
    </w:p>
    <w:p w14:paraId="5040EB95">
      <w:pPr>
        <w:widowControl/>
        <w:jc w:val="center"/>
        <w:rPr>
          <w:rFonts w:ascii="Times New Roman" w:hAnsi="Times New Roman" w:cs="Times New Roman"/>
        </w:rPr>
      </w:pPr>
      <w:r>
        <w:rPr>
          <w:rFonts w:hint="eastAsia" w:ascii="Times New Roman" w:hAnsi="Times New Roman" w:cs="Times New Roman"/>
        </w:rPr>
        <w:drawing>
          <wp:inline distT="0" distB="0" distL="0" distR="0">
            <wp:extent cx="5016500" cy="1943100"/>
            <wp:effectExtent l="0" t="0" r="0" b="0"/>
            <wp:docPr id="159861533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615331" name="图片 3"/>
                    <pic:cNvPicPr>
                      <a:picLocks noChangeAspect="1"/>
                    </pic:cNvPicPr>
                  </pic:nvPicPr>
                  <pic:blipFill>
                    <a:blip r:embed="rId14"/>
                    <a:srcRect l="2769" t="20892" r="2119" b="39644"/>
                    <a:stretch>
                      <a:fillRect/>
                    </a:stretch>
                  </pic:blipFill>
                  <pic:spPr>
                    <a:xfrm>
                      <a:off x="0" y="0"/>
                      <a:ext cx="5016500" cy="1943100"/>
                    </a:xfrm>
                    <a:prstGeom prst="rect">
                      <a:avLst/>
                    </a:prstGeom>
                    <a:ln>
                      <a:noFill/>
                    </a:ln>
                  </pic:spPr>
                </pic:pic>
              </a:graphicData>
            </a:graphic>
          </wp:inline>
        </w:drawing>
      </w:r>
    </w:p>
    <w:p w14:paraId="4E18A12F">
      <w:pPr>
        <w:widowControl/>
        <w:jc w:val="center"/>
        <w:rPr>
          <w:rFonts w:ascii="Times New Roman" w:hAnsi="Times New Roman" w:cs="Times New Roman"/>
        </w:rPr>
      </w:pPr>
    </w:p>
    <w:p w14:paraId="1AB64416">
      <w:pPr>
        <w:rPr>
          <w:rFonts w:ascii="Times New Roman" w:hAnsi="Times New Roman" w:cs="Times New Roman"/>
        </w:rPr>
      </w:pPr>
      <w:r>
        <w:rPr>
          <w:rFonts w:ascii="Times New Roman" w:hAnsi="Times New Roman" w:cs="Times New Roman"/>
          <w:b/>
          <w:bCs/>
        </w:rPr>
        <w:t>Fig</w:t>
      </w:r>
      <w:r>
        <w:rPr>
          <w:rFonts w:hint="eastAsia" w:ascii="Times New Roman" w:hAnsi="Times New Roman" w:cs="Times New Roman"/>
          <w:b/>
          <w:bCs/>
        </w:rPr>
        <w:t>ure</w:t>
      </w:r>
      <w:r>
        <w:rPr>
          <w:rFonts w:ascii="Times New Roman" w:hAnsi="Times New Roman" w:cs="Times New Roman"/>
          <w:b/>
          <w:bCs/>
        </w:rPr>
        <w:t xml:space="preserve"> S</w:t>
      </w:r>
      <w:r>
        <w:rPr>
          <w:rFonts w:hint="eastAsia" w:ascii="Times New Roman" w:hAnsi="Times New Roman" w:cs="Times New Roman"/>
          <w:b/>
          <w:bCs/>
        </w:rPr>
        <w:t>10.</w:t>
      </w:r>
      <w:r>
        <w:t xml:space="preserve"> </w:t>
      </w:r>
      <w:r>
        <w:rPr>
          <w:rFonts w:hint="eastAsia" w:ascii="Times New Roman" w:hAnsi="Times New Roman" w:cs="Times New Roman"/>
        </w:rPr>
        <w:t>(a) The mobility comparison of laminated gate and evaporated gate structure devices with PMMA as the dielectric layer. (b) The mobility comparison of laminated gate and evaporated gate structure devices with DC 1-2577 as the dielectric layer.</w:t>
      </w:r>
    </w:p>
    <w:p w14:paraId="1EA9072B">
      <w:pPr>
        <w:rPr>
          <w:rFonts w:ascii="Times New Roman" w:hAnsi="Times New Roman" w:cs="Times New Roman"/>
        </w:rPr>
      </w:pPr>
    </w:p>
    <w:p w14:paraId="30EC2683">
      <w:pPr>
        <w:rPr>
          <w:rFonts w:ascii="Times New Roman" w:hAnsi="Times New Roman" w:cs="Times New Roman"/>
        </w:rPr>
      </w:pPr>
    </w:p>
    <w:p w14:paraId="60149BA1">
      <w:pPr>
        <w:rPr>
          <w:rFonts w:ascii="Times New Roman" w:hAnsi="Times New Roman" w:cs="Times New Roman"/>
        </w:rPr>
      </w:pPr>
    </w:p>
    <w:p w14:paraId="40802A58">
      <w:pPr>
        <w:rPr>
          <w:rFonts w:ascii="Times New Roman" w:hAnsi="Times New Roman" w:cs="Times New Roman"/>
        </w:rPr>
      </w:pPr>
    </w:p>
    <w:p w14:paraId="040AC478">
      <w:pPr>
        <w:widowControl/>
        <w:jc w:val="center"/>
        <w:rPr>
          <w:rFonts w:ascii="Times New Roman" w:hAnsi="Times New Roman" w:cs="Times New Roman"/>
        </w:rPr>
      </w:pPr>
      <w:r>
        <w:rPr>
          <w:rFonts w:hint="eastAsia" w:ascii="Times New Roman" w:hAnsi="Times New Roman" w:cs="Times New Roman"/>
        </w:rPr>
        <w:drawing>
          <wp:inline distT="0" distB="0" distL="0" distR="0">
            <wp:extent cx="3164205" cy="2159635"/>
            <wp:effectExtent l="0" t="0" r="0" b="0"/>
            <wp:docPr id="207171716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717160" name="图片 4"/>
                    <pic:cNvPicPr>
                      <a:picLocks noChangeAspect="1"/>
                    </pic:cNvPicPr>
                  </pic:nvPicPr>
                  <pic:blipFill>
                    <a:blip r:embed="rId15"/>
                    <a:srcRect l="26126" t="29920" r="28365" b="36807"/>
                    <a:stretch>
                      <a:fillRect/>
                    </a:stretch>
                  </pic:blipFill>
                  <pic:spPr>
                    <a:xfrm>
                      <a:off x="0" y="0"/>
                      <a:ext cx="3164651" cy="2160000"/>
                    </a:xfrm>
                    <a:prstGeom prst="rect">
                      <a:avLst/>
                    </a:prstGeom>
                    <a:ln>
                      <a:noFill/>
                    </a:ln>
                  </pic:spPr>
                </pic:pic>
              </a:graphicData>
            </a:graphic>
          </wp:inline>
        </w:drawing>
      </w:r>
    </w:p>
    <w:p w14:paraId="259D0843">
      <w:pPr>
        <w:widowControl/>
        <w:jc w:val="center"/>
        <w:rPr>
          <w:rFonts w:ascii="Times New Roman" w:hAnsi="Times New Roman" w:cs="Times New Roman"/>
        </w:rPr>
      </w:pPr>
    </w:p>
    <w:p w14:paraId="4298EA1F">
      <w:pPr>
        <w:widowControl/>
        <w:rPr>
          <w:rFonts w:ascii="Times New Roman" w:hAnsi="Times New Roman" w:cs="Times New Roman"/>
        </w:rPr>
      </w:pPr>
      <w:r>
        <w:rPr>
          <w:rFonts w:ascii="Times New Roman" w:hAnsi="Times New Roman" w:cs="Times New Roman"/>
          <w:b/>
          <w:bCs/>
        </w:rPr>
        <w:t>Fig</w:t>
      </w:r>
      <w:r>
        <w:rPr>
          <w:rFonts w:hint="eastAsia" w:ascii="Times New Roman" w:hAnsi="Times New Roman" w:cs="Times New Roman"/>
          <w:b/>
          <w:bCs/>
        </w:rPr>
        <w:t>ure</w:t>
      </w:r>
      <w:r>
        <w:rPr>
          <w:rFonts w:ascii="Times New Roman" w:hAnsi="Times New Roman" w:cs="Times New Roman"/>
          <w:b/>
          <w:bCs/>
        </w:rPr>
        <w:t xml:space="preserve"> S</w:t>
      </w:r>
      <w:r>
        <w:rPr>
          <w:rFonts w:hint="eastAsia" w:ascii="Times New Roman" w:hAnsi="Times New Roman" w:cs="Times New Roman"/>
          <w:b/>
          <w:bCs/>
        </w:rPr>
        <w:t>11.</w:t>
      </w:r>
      <w:r>
        <w:t xml:space="preserve"> </w:t>
      </w:r>
      <w:r>
        <w:rPr>
          <w:rFonts w:hint="eastAsia" w:ascii="Times New Roman" w:hAnsi="Times New Roman" w:cs="Times New Roman"/>
        </w:rPr>
        <w:t>Comparison of field-effect mobilities for four types of devices with different combinations of dielectric layers (PMMA or DC 1-2577) and electrode modification (with or without PFBT).</w:t>
      </w:r>
    </w:p>
    <w:p w14:paraId="2CC5F4D9">
      <w:pPr>
        <w:widowControl/>
        <w:jc w:val="center"/>
        <w:rPr>
          <w:rFonts w:ascii="Times New Roman" w:hAnsi="Times New Roman" w:cs="Times New Roman"/>
        </w:rPr>
      </w:pPr>
      <w:r>
        <w:rPr>
          <w:rFonts w:hint="eastAsia" w:ascii="Times New Roman" w:hAnsi="Times New Roman" w:cs="Times New Roman"/>
        </w:rPr>
        <w:drawing>
          <wp:inline distT="0" distB="0" distL="0" distR="0">
            <wp:extent cx="5067300" cy="3162300"/>
            <wp:effectExtent l="0" t="0" r="0" b="0"/>
            <wp:docPr id="145059103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591036" name="图片 5"/>
                    <pic:cNvPicPr>
                      <a:picLocks noChangeAspect="1"/>
                    </pic:cNvPicPr>
                  </pic:nvPicPr>
                  <pic:blipFill>
                    <a:blip r:embed="rId16"/>
                    <a:srcRect t="2063" r="3925" b="33712"/>
                    <a:stretch>
                      <a:fillRect/>
                    </a:stretch>
                  </pic:blipFill>
                  <pic:spPr>
                    <a:xfrm>
                      <a:off x="0" y="0"/>
                      <a:ext cx="5067300" cy="3162300"/>
                    </a:xfrm>
                    <a:prstGeom prst="rect">
                      <a:avLst/>
                    </a:prstGeom>
                    <a:ln>
                      <a:noFill/>
                    </a:ln>
                  </pic:spPr>
                </pic:pic>
              </a:graphicData>
            </a:graphic>
          </wp:inline>
        </w:drawing>
      </w:r>
    </w:p>
    <w:p w14:paraId="52B4100B">
      <w:pPr>
        <w:widowControl/>
        <w:rPr>
          <w:rFonts w:ascii="Times New Roman" w:hAnsi="Times New Roman" w:cs="Times New Roman"/>
        </w:rPr>
      </w:pPr>
      <w:r>
        <w:rPr>
          <w:rFonts w:hint="eastAsia" w:ascii="Times New Roman" w:hAnsi="Times New Roman" w:cs="Times New Roman"/>
        </w:rPr>
        <w:cr/>
      </w:r>
      <w:r>
        <w:rPr>
          <w:rFonts w:hint="eastAsia" w:ascii="Times New Roman" w:hAnsi="Times New Roman" w:cs="Times New Roman"/>
          <w:b/>
          <w:bCs/>
        </w:rPr>
        <w:t>Figure S12.</w:t>
      </w:r>
      <w:r>
        <w:t xml:space="preserve"> </w:t>
      </w:r>
      <w:r>
        <w:rPr>
          <w:rFonts w:ascii="Times New Roman" w:hAnsi="Times New Roman" w:cs="Times New Roman"/>
        </w:rPr>
        <w:t>Schematic illustration of the fabrication procedures for all-organic AMOLED devices.</w:t>
      </w:r>
    </w:p>
    <w:p w14:paraId="6368491F">
      <w:pPr>
        <w:widowControl/>
        <w:rPr>
          <w:rFonts w:ascii="Times New Roman" w:hAnsi="Times New Roman" w:cs="Times New Roman"/>
        </w:rPr>
      </w:pPr>
    </w:p>
    <w:p w14:paraId="0DCD61AE">
      <w:pPr>
        <w:widowControl/>
        <w:jc w:val="center"/>
        <w:rPr>
          <w:rFonts w:ascii="Times New Roman" w:hAnsi="Times New Roman" w:cs="Times New Roman"/>
        </w:rPr>
      </w:pPr>
      <w:r>
        <w:rPr>
          <w:rFonts w:ascii="Times New Roman" w:hAnsi="Times New Roman" w:cs="Times New Roman"/>
        </w:rPr>
        <w:drawing>
          <wp:inline distT="0" distB="0" distL="0" distR="0">
            <wp:extent cx="2214880" cy="2087880"/>
            <wp:effectExtent l="0" t="0" r="0" b="7620"/>
            <wp:docPr id="2776325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632519" name="图片 2"/>
                    <pic:cNvPicPr>
                      <a:picLocks noChangeAspect="1"/>
                    </pic:cNvPicPr>
                  </pic:nvPicPr>
                  <pic:blipFill>
                    <a:blip r:embed="rId17"/>
                    <a:srcRect l="35648" t="26400" r="35531" b="44502"/>
                    <a:stretch>
                      <a:fillRect/>
                    </a:stretch>
                  </pic:blipFill>
                  <pic:spPr>
                    <a:xfrm>
                      <a:off x="0" y="0"/>
                      <a:ext cx="2215425" cy="2088000"/>
                    </a:xfrm>
                    <a:prstGeom prst="rect">
                      <a:avLst/>
                    </a:prstGeom>
                    <a:ln>
                      <a:noFill/>
                    </a:ln>
                  </pic:spPr>
                </pic:pic>
              </a:graphicData>
            </a:graphic>
          </wp:inline>
        </w:drawing>
      </w:r>
    </w:p>
    <w:p w14:paraId="607A8021">
      <w:pPr>
        <w:widowControl/>
        <w:rPr>
          <w:rFonts w:ascii="Times New Roman" w:hAnsi="Times New Roman" w:cs="Times New Roman"/>
        </w:rPr>
      </w:pPr>
      <w:r>
        <w:rPr>
          <w:rFonts w:hint="eastAsia" w:ascii="Times New Roman" w:hAnsi="Times New Roman" w:cs="Times New Roman"/>
          <w:b/>
          <w:bCs/>
        </w:rPr>
        <w:t>Figure S13.</w:t>
      </w:r>
      <w:r>
        <w:t xml:space="preserve"> </w:t>
      </w:r>
      <w:r>
        <w:rPr>
          <w:rFonts w:hint="eastAsia" w:ascii="Times New Roman" w:hAnsi="Times New Roman" w:cs="Times New Roman"/>
        </w:rPr>
        <w:t>Curve of EQE versus luminance for the OLED</w:t>
      </w:r>
      <w:r>
        <w:rPr>
          <w:rFonts w:ascii="Times New Roman" w:hAnsi="Times New Roman" w:cs="Times New Roman"/>
        </w:rPr>
        <w:t>.</w:t>
      </w:r>
    </w:p>
    <w:p w14:paraId="60D8699C">
      <w:pPr>
        <w:spacing w:line="480" w:lineRule="auto"/>
        <w:jc w:val="center"/>
        <w:rPr>
          <w:rFonts w:ascii="Times New Roman" w:hAnsi="Times New Roman" w:cs="Times New Roman"/>
        </w:rPr>
      </w:pPr>
      <w:r>
        <w:rPr>
          <w:rFonts w:ascii="Times New Roman" w:hAnsi="Times New Roman" w:cs="Times New Roman"/>
        </w:rPr>
        <w:drawing>
          <wp:inline distT="0" distB="0" distL="0" distR="0">
            <wp:extent cx="2475230" cy="2159000"/>
            <wp:effectExtent l="0" t="0" r="1270" b="0"/>
            <wp:docPr id="18723962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39629" name="图片 7"/>
                    <pic:cNvPicPr>
                      <a:picLocks noChangeAspect="1"/>
                    </pic:cNvPicPr>
                  </pic:nvPicPr>
                  <pic:blipFill>
                    <a:blip r:embed="rId18"/>
                    <a:srcRect l="30984" t="33094" r="34220" b="34401"/>
                    <a:stretch>
                      <a:fillRect/>
                    </a:stretch>
                  </pic:blipFill>
                  <pic:spPr>
                    <a:xfrm>
                      <a:off x="0" y="0"/>
                      <a:ext cx="2476888" cy="2160000"/>
                    </a:xfrm>
                    <a:prstGeom prst="rect">
                      <a:avLst/>
                    </a:prstGeom>
                    <a:ln>
                      <a:noFill/>
                    </a:ln>
                  </pic:spPr>
                </pic:pic>
              </a:graphicData>
            </a:graphic>
          </wp:inline>
        </w:drawing>
      </w:r>
    </w:p>
    <w:p w14:paraId="695869EC">
      <w:pPr>
        <w:rPr>
          <w:rFonts w:ascii="Times New Roman" w:hAnsi="Times New Roman" w:cs="Times New Roman"/>
        </w:rPr>
      </w:pPr>
      <w:r>
        <w:rPr>
          <w:rFonts w:hint="eastAsia" w:ascii="Times New Roman" w:hAnsi="Times New Roman" w:cs="Times New Roman"/>
          <w:b/>
          <w:bCs/>
        </w:rPr>
        <w:t>Figure S14.</w:t>
      </w:r>
      <w:r>
        <w:t xml:space="preserve"> </w:t>
      </w:r>
      <w:r>
        <w:rPr>
          <w:rFonts w:ascii="Times New Roman" w:hAnsi="Times New Roman" w:cs="Times New Roman"/>
        </w:rPr>
        <w:t>Transfer characteristics of OTFTs in all-organic AMOLED arrays.</w:t>
      </w:r>
    </w:p>
    <w:p w14:paraId="7FE48448">
      <w:pPr>
        <w:spacing w:line="480" w:lineRule="auto"/>
        <w:jc w:val="center"/>
        <w:rPr>
          <w:rFonts w:ascii="Times New Roman" w:hAnsi="Times New Roman" w:cs="Times New Roman"/>
        </w:rPr>
      </w:pPr>
      <w:r>
        <w:rPr>
          <w:rFonts w:ascii="Times New Roman" w:hAnsi="Times New Roman" w:cs="Times New Roman"/>
        </w:rPr>
        <w:drawing>
          <wp:inline distT="0" distB="0" distL="0" distR="0">
            <wp:extent cx="2555240" cy="1828165"/>
            <wp:effectExtent l="0" t="0" r="0" b="635"/>
            <wp:docPr id="150952552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525521" name="图片 8"/>
                    <pic:cNvPicPr>
                      <a:picLocks noChangeAspect="1"/>
                    </pic:cNvPicPr>
                  </pic:nvPicPr>
                  <pic:blipFill>
                    <a:blip r:embed="rId19"/>
                    <a:srcRect l="25342" t="27142" r="26184" b="35713"/>
                    <a:stretch>
                      <a:fillRect/>
                    </a:stretch>
                  </pic:blipFill>
                  <pic:spPr>
                    <a:xfrm>
                      <a:off x="0" y="0"/>
                      <a:ext cx="2556692" cy="1828924"/>
                    </a:xfrm>
                    <a:prstGeom prst="rect">
                      <a:avLst/>
                    </a:prstGeom>
                    <a:ln>
                      <a:noFill/>
                    </a:ln>
                  </pic:spPr>
                </pic:pic>
              </a:graphicData>
            </a:graphic>
          </wp:inline>
        </w:drawing>
      </w:r>
    </w:p>
    <w:p w14:paraId="7CB3C087">
      <w:pPr>
        <w:rPr>
          <w:rFonts w:ascii="Times New Roman" w:hAnsi="Times New Roman" w:cs="Times New Roman"/>
        </w:rPr>
      </w:pPr>
      <w:r>
        <w:rPr>
          <w:rFonts w:hint="eastAsia" w:ascii="Times New Roman" w:hAnsi="Times New Roman" w:cs="Times New Roman"/>
          <w:b/>
          <w:bCs/>
        </w:rPr>
        <w:t xml:space="preserve">Figure S15. </w:t>
      </w:r>
      <w:r>
        <w:rPr>
          <w:rFonts w:hint="eastAsia" w:ascii="Times New Roman" w:hAnsi="Times New Roman" w:cs="Times New Roman"/>
        </w:rPr>
        <w:t>a)</w:t>
      </w:r>
      <w:r>
        <w:rPr>
          <w:rFonts w:hint="eastAsia" w:ascii="Times New Roman" w:hAnsi="Times New Roman" w:cs="Times New Roman"/>
          <w:b/>
          <w:bCs/>
        </w:rPr>
        <w:t xml:space="preserve"> </w:t>
      </w:r>
      <w:r>
        <w:rPr>
          <w:rFonts w:ascii="Times New Roman" w:hAnsi="Times New Roman" w:cs="Times New Roman"/>
        </w:rPr>
        <w:t xml:space="preserve">Photograph of the </w:t>
      </w:r>
      <w:r>
        <w:rPr>
          <w:rFonts w:hint="eastAsia" w:ascii="Times New Roman" w:hAnsi="Times New Roman" w:cs="Times New Roman"/>
        </w:rPr>
        <w:t>weight measurement</w:t>
      </w:r>
      <w:r>
        <w:rPr>
          <w:rFonts w:ascii="Times New Roman" w:hAnsi="Times New Roman" w:cs="Times New Roman"/>
        </w:rPr>
        <w:t xml:space="preserve"> </w:t>
      </w:r>
      <w:r>
        <w:rPr>
          <w:rFonts w:hint="eastAsia" w:ascii="Times New Roman" w:hAnsi="Times New Roman" w:cs="Times New Roman"/>
        </w:rPr>
        <w:t xml:space="preserve">for </w:t>
      </w:r>
      <w:r>
        <w:rPr>
          <w:rFonts w:ascii="Times New Roman" w:hAnsi="Times New Roman" w:cs="Times New Roman"/>
        </w:rPr>
        <w:t xml:space="preserve">all-organic AMOLED array. </w:t>
      </w:r>
      <w:r>
        <w:rPr>
          <w:rFonts w:hint="eastAsia" w:ascii="Times New Roman" w:hAnsi="Times New Roman" w:cs="Times New Roman"/>
        </w:rPr>
        <w:t>b) The</w:t>
      </w:r>
      <w:r>
        <w:rPr>
          <w:rFonts w:ascii="Times New Roman" w:hAnsi="Times New Roman" w:cs="Times New Roman"/>
        </w:rPr>
        <w:t xml:space="preserve"> 2.5 × 3.5</w:t>
      </w:r>
      <w:r>
        <w:rPr>
          <w:rFonts w:hint="eastAsia" w:ascii="Times New Roman" w:hAnsi="Times New Roman" w:cs="Times New Roman"/>
        </w:rPr>
        <w:t xml:space="preserve"> cm</w:t>
      </w:r>
      <w:r>
        <w:rPr>
          <w:rFonts w:hint="eastAsia" w:ascii="Times New Roman" w:hAnsi="Times New Roman" w:cs="Times New Roman"/>
          <w:vertAlign w:val="superscript"/>
        </w:rPr>
        <w:t>2</w:t>
      </w:r>
      <w:r>
        <w:rPr>
          <w:rFonts w:hint="eastAsia" w:ascii="Times New Roman" w:hAnsi="Times New Roman" w:cs="Times New Roman"/>
        </w:rPr>
        <w:t xml:space="preserve"> AMOLED array was placed on the measuring table of an electronic balance. c) </w:t>
      </w:r>
      <w:r>
        <w:rPr>
          <w:rFonts w:ascii="Times New Roman" w:hAnsi="Times New Roman" w:cs="Times New Roman"/>
        </w:rPr>
        <w:t>The test weight of the whole device is 2</w:t>
      </w:r>
      <w:r>
        <w:rPr>
          <w:rFonts w:hint="eastAsia" w:ascii="Times New Roman" w:hAnsi="Times New Roman" w:cs="Times New Roman"/>
        </w:rPr>
        <w:t>1.23 mg.</w:t>
      </w:r>
    </w:p>
    <w:tbl>
      <w:tblPr>
        <w:tblStyle w:val="16"/>
        <w:tblpPr w:leftFromText="180" w:rightFromText="180" w:vertAnchor="page" w:horzAnchor="margin" w:tblpY="6661"/>
        <w:tblW w:w="83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2551"/>
        <w:gridCol w:w="1985"/>
        <w:gridCol w:w="1701"/>
      </w:tblGrid>
      <w:tr w14:paraId="46AFA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Borders>
              <w:top w:val="single" w:color="auto" w:sz="4" w:space="0"/>
              <w:left w:val="nil"/>
              <w:bottom w:val="single" w:color="auto" w:sz="4" w:space="0"/>
              <w:right w:val="nil"/>
            </w:tcBorders>
          </w:tcPr>
          <w:p w14:paraId="2D1D66C8">
            <w:pPr>
              <w:ind w:firstLine="480"/>
              <w:jc w:val="center"/>
              <w:rPr>
                <w:rFonts w:ascii="Times New Roman" w:hAnsi="Times New Roman" w:cs="Times New Roman"/>
              </w:rPr>
            </w:pPr>
            <w:r>
              <w:rPr>
                <w:rFonts w:hint="eastAsia" w:ascii="Times New Roman" w:hAnsi="Times New Roman" w:cs="Times New Roman"/>
              </w:rPr>
              <w:t>Device type</w:t>
            </w:r>
          </w:p>
        </w:tc>
        <w:tc>
          <w:tcPr>
            <w:tcW w:w="2551" w:type="dxa"/>
            <w:tcBorders>
              <w:top w:val="single" w:color="auto" w:sz="4" w:space="0"/>
              <w:left w:val="nil"/>
              <w:bottom w:val="single" w:color="auto" w:sz="4" w:space="0"/>
              <w:right w:val="nil"/>
            </w:tcBorders>
          </w:tcPr>
          <w:p w14:paraId="5BFCD854">
            <w:pPr>
              <w:ind w:firstLine="480"/>
              <w:jc w:val="center"/>
              <w:rPr>
                <w:rFonts w:ascii="Times New Roman" w:hAnsi="Times New Roman" w:cs="Times New Roman"/>
              </w:rPr>
            </w:pPr>
            <w:r>
              <w:rPr>
                <w:rFonts w:ascii="Times New Roman" w:hAnsi="Times New Roman" w:cs="Times New Roman"/>
              </w:rPr>
              <w:t xml:space="preserve">Device </w:t>
            </w:r>
            <w:r>
              <w:rPr>
                <w:rFonts w:hint="eastAsia" w:ascii="Times New Roman" w:hAnsi="Times New Roman" w:cs="Times New Roman"/>
              </w:rPr>
              <w:t>density           (devices cm</w:t>
            </w:r>
            <w:r>
              <w:rPr>
                <w:rFonts w:hint="eastAsia" w:ascii="Times New Roman" w:hAnsi="Times New Roman" w:cs="Times New Roman"/>
                <w:vertAlign w:val="superscript"/>
              </w:rPr>
              <w:t>-2</w:t>
            </w:r>
            <w:r>
              <w:rPr>
                <w:rFonts w:hint="eastAsia" w:ascii="Times New Roman" w:hAnsi="Times New Roman" w:cs="Times New Roman"/>
              </w:rPr>
              <w:t>)</w:t>
            </w:r>
          </w:p>
        </w:tc>
        <w:tc>
          <w:tcPr>
            <w:tcW w:w="1985" w:type="dxa"/>
            <w:tcBorders>
              <w:top w:val="single" w:color="auto" w:sz="4" w:space="0"/>
              <w:left w:val="nil"/>
              <w:bottom w:val="single" w:color="auto" w:sz="4" w:space="0"/>
              <w:right w:val="nil"/>
            </w:tcBorders>
          </w:tcPr>
          <w:p w14:paraId="0E03E7E9">
            <w:pPr>
              <w:ind w:firstLine="480"/>
              <w:jc w:val="center"/>
              <w:rPr>
                <w:rFonts w:ascii="Times New Roman" w:hAnsi="Times New Roman" w:cs="Times New Roman"/>
                <w:i/>
                <w:iCs/>
              </w:rPr>
            </w:pPr>
            <w:r>
              <w:rPr>
                <w:rFonts w:ascii="Times New Roman" w:hAnsi="Times New Roman" w:cs="Times New Roman"/>
                <w:i/>
                <w:iCs/>
              </w:rPr>
              <w:t xml:space="preserve">μ </w:t>
            </w:r>
            <w:r>
              <w:rPr>
                <w:rFonts w:ascii="Times New Roman" w:hAnsi="Times New Roman" w:cs="Times New Roman"/>
              </w:rPr>
              <w:t>(cm</w:t>
            </w:r>
            <w:r>
              <w:rPr>
                <w:rFonts w:ascii="Times New Roman" w:hAnsi="Times New Roman" w:cs="Times New Roman"/>
                <w:vertAlign w:val="superscript"/>
              </w:rPr>
              <w:t>2</w:t>
            </w:r>
            <w:r>
              <w:rPr>
                <w:rFonts w:ascii="Times New Roman" w:hAnsi="Times New Roman" w:cs="Times New Roman"/>
              </w:rPr>
              <w:t>V</w:t>
            </w:r>
            <w:r>
              <w:rPr>
                <w:rFonts w:ascii="Times New Roman" w:hAnsi="Times New Roman" w:cs="Times New Roman"/>
                <w:vertAlign w:val="superscript"/>
              </w:rPr>
              <w:t>-1</w:t>
            </w:r>
            <w:r>
              <w:rPr>
                <w:rFonts w:ascii="Times New Roman" w:hAnsi="Times New Roman" w:cs="Times New Roman"/>
              </w:rPr>
              <w:t>s</w:t>
            </w:r>
            <w:r>
              <w:rPr>
                <w:rFonts w:ascii="Times New Roman" w:hAnsi="Times New Roman" w:cs="Times New Roman"/>
                <w:vertAlign w:val="superscript"/>
              </w:rPr>
              <w:t>-1</w:t>
            </w:r>
            <w:r>
              <w:rPr>
                <w:rFonts w:ascii="Times New Roman" w:hAnsi="Times New Roman" w:cs="Times New Roman"/>
              </w:rPr>
              <w:t>)</w:t>
            </w:r>
          </w:p>
        </w:tc>
        <w:tc>
          <w:tcPr>
            <w:tcW w:w="1701" w:type="dxa"/>
            <w:tcBorders>
              <w:top w:val="single" w:color="auto" w:sz="4" w:space="0"/>
              <w:left w:val="nil"/>
              <w:bottom w:val="single" w:color="auto" w:sz="4" w:space="0"/>
              <w:right w:val="nil"/>
            </w:tcBorders>
          </w:tcPr>
          <w:p w14:paraId="46E47D82">
            <w:pPr>
              <w:ind w:firstLine="480"/>
              <w:jc w:val="center"/>
              <w:rPr>
                <w:rFonts w:ascii="Times New Roman" w:hAnsi="Times New Roman" w:cs="Times New Roman"/>
              </w:rPr>
            </w:pPr>
            <w:r>
              <w:rPr>
                <w:rFonts w:ascii="Times New Roman" w:hAnsi="Times New Roman" w:cs="Times New Roman"/>
              </w:rPr>
              <w:t>Reference</w:t>
            </w:r>
          </w:p>
        </w:tc>
      </w:tr>
      <w:tr w14:paraId="33184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Borders>
              <w:top w:val="single" w:color="auto" w:sz="4" w:space="0"/>
              <w:left w:val="nil"/>
              <w:bottom w:val="nil"/>
              <w:right w:val="nil"/>
            </w:tcBorders>
          </w:tcPr>
          <w:p w14:paraId="5CFEFC29">
            <w:pPr>
              <w:ind w:firstLine="480"/>
              <w:jc w:val="center"/>
              <w:rPr>
                <w:rFonts w:ascii="Times New Roman" w:hAnsi="Times New Roman" w:cs="Times New Roman"/>
              </w:rPr>
            </w:pPr>
            <w:r>
              <w:rPr>
                <w:rFonts w:ascii="Times New Roman" w:hAnsi="Times New Roman" w:cs="Times New Roman"/>
              </w:rPr>
              <w:t>Flexible</w:t>
            </w:r>
          </w:p>
        </w:tc>
        <w:tc>
          <w:tcPr>
            <w:tcW w:w="2551" w:type="dxa"/>
            <w:tcBorders>
              <w:top w:val="single" w:color="auto" w:sz="4" w:space="0"/>
              <w:left w:val="nil"/>
              <w:bottom w:val="nil"/>
              <w:right w:val="nil"/>
            </w:tcBorders>
          </w:tcPr>
          <w:p w14:paraId="3D1C91C7">
            <w:pPr>
              <w:ind w:firstLine="480"/>
              <w:jc w:val="center"/>
              <w:rPr>
                <w:rFonts w:ascii="Times New Roman" w:hAnsi="Times New Roman" w:cs="Times New Roman"/>
              </w:rPr>
            </w:pPr>
            <w:r>
              <w:rPr>
                <w:rFonts w:hint="eastAsia" w:ascii="Times New Roman" w:hAnsi="Times New Roman" w:cs="Times New Roman"/>
              </w:rPr>
              <w:t>1.6</w:t>
            </w:r>
          </w:p>
        </w:tc>
        <w:tc>
          <w:tcPr>
            <w:tcW w:w="1985" w:type="dxa"/>
            <w:tcBorders>
              <w:top w:val="single" w:color="auto" w:sz="4" w:space="0"/>
              <w:left w:val="nil"/>
              <w:bottom w:val="nil"/>
              <w:right w:val="nil"/>
            </w:tcBorders>
          </w:tcPr>
          <w:p w14:paraId="0C1153D1">
            <w:pPr>
              <w:ind w:firstLine="480"/>
              <w:jc w:val="center"/>
              <w:rPr>
                <w:rFonts w:ascii="Times New Roman" w:hAnsi="Times New Roman" w:cs="Times New Roman"/>
              </w:rPr>
            </w:pPr>
            <w:r>
              <w:rPr>
                <w:rFonts w:hint="eastAsia" w:ascii="Times New Roman" w:hAnsi="Times New Roman" w:cs="Times New Roman"/>
              </w:rPr>
              <w:t>0.002-0.1</w:t>
            </w:r>
          </w:p>
        </w:tc>
        <w:tc>
          <w:tcPr>
            <w:tcW w:w="1701" w:type="dxa"/>
            <w:tcBorders>
              <w:top w:val="single" w:color="auto" w:sz="4" w:space="0"/>
              <w:left w:val="nil"/>
              <w:bottom w:val="nil"/>
              <w:right w:val="nil"/>
            </w:tcBorders>
          </w:tcPr>
          <w:p w14:paraId="0FC92835">
            <w:pPr>
              <w:ind w:firstLine="48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EN.CITE &lt;EndNote&gt;&lt;Cite&gt;&lt;Author&gt;Liu&lt;/Author&gt;&lt;Year&gt;2022&lt;/Year&gt;&lt;RecNum&gt;57&lt;/RecNum&gt;&lt;DisplayText&gt;[47]&lt;/DisplayText&gt;&lt;record&gt;&lt;rec-number&gt;57&lt;/rec-number&gt;&lt;foreign-keys&gt;&lt;key app="EN" db-id="wtdsxfd2i2ddr4ed5ru52d5h552fx9dprw9e" timestamp="1752328202"&gt;57&lt;/key&gt;&lt;/foreign-keys&gt;&lt;ref-type name="Journal Article"&gt;17&lt;/ref-type&gt;&lt;contributors&gt;&lt;authors&gt;&lt;author&gt;Liu, Yang&lt;/author&gt;&lt;author&gt;Zhao, Bin&lt;/author&gt;&lt;author&gt;Liu, Jingyu&lt;/author&gt;&lt;author&gt;Wang, Zhongli&lt;/author&gt;&lt;author&gt;Liang, Ziqi&lt;/author&gt;&lt;author&gt;Dong, Weijia&lt;/author&gt;&lt;author&gt;Xu, Chenhui&lt;/author&gt;&lt;author&gt;Wang, Bin&lt;/author&gt;&lt;author&gt;Fei, Zhuping&lt;/author&gt;&lt;author&gt;Han, Yang&lt;/author&gt;&lt;/authors&gt;&lt;/contributors&gt;&lt;titles&gt;&lt;title&gt;Extending the p-doping of polymers to an air stable lewis acid–base adduct by increasing the acidity of the dopant&lt;/title&gt;&lt;secondary-title&gt;ACS Applied Polymer Materials&lt;/secondary-title&gt;&lt;/titles&gt;&lt;periodical&gt;&lt;full-title&gt;ACS Applied Polymer Materials&lt;/full-title&gt;&lt;/periodical&gt;&lt;pages&gt;3877-3884&lt;/pages&gt;&lt;volume&gt;4&lt;/volume&gt;&lt;number&gt;5&lt;/number&gt;&lt;dates&gt;&lt;year&gt;2022&lt;/year&gt;&lt;/dates&gt;&lt;isbn&gt;2637-6105&lt;/isbn&gt;&lt;urls&gt;&lt;/urls&gt;&lt;/record&gt;&lt;/Cite&gt;&lt;/EndNote&gt;</w:instrText>
            </w:r>
            <w:r>
              <w:rPr>
                <w:rFonts w:ascii="Times New Roman" w:hAnsi="Times New Roman" w:cs="Times New Roman"/>
              </w:rPr>
              <w:fldChar w:fldCharType="separate"/>
            </w:r>
            <w:r>
              <w:rPr>
                <w:rFonts w:ascii="Times New Roman" w:hAnsi="Times New Roman" w:cs="Times New Roman"/>
              </w:rPr>
              <w:t>[</w:t>
            </w:r>
            <w:r>
              <w:fldChar w:fldCharType="begin"/>
            </w:r>
            <w:r>
              <w:instrText xml:space="preserve"> HYPERLINK \l "_ENREF_47" \o "Liu, 2022 #57" </w:instrText>
            </w:r>
            <w:r>
              <w:fldChar w:fldCharType="separate"/>
            </w:r>
            <w:r>
              <w:rPr>
                <w:rFonts w:hint="eastAsia" w:ascii="Times New Roman" w:hAnsi="Times New Roman" w:cs="Times New Roman"/>
              </w:rPr>
              <w:t>1</w:t>
            </w:r>
            <w:r>
              <w:rPr>
                <w:rFonts w:hint="eastAsia"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end"/>
            </w:r>
          </w:p>
        </w:tc>
      </w:tr>
      <w:tr w14:paraId="63850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Borders>
              <w:top w:val="nil"/>
              <w:left w:val="nil"/>
              <w:bottom w:val="nil"/>
              <w:right w:val="nil"/>
            </w:tcBorders>
          </w:tcPr>
          <w:p w14:paraId="45024ADE">
            <w:pPr>
              <w:ind w:firstLine="480"/>
              <w:jc w:val="center"/>
              <w:rPr>
                <w:rFonts w:ascii="Times New Roman" w:hAnsi="Times New Roman" w:cs="Times New Roman"/>
              </w:rPr>
            </w:pPr>
            <w:r>
              <w:rPr>
                <w:rFonts w:ascii="Times New Roman" w:hAnsi="Times New Roman" w:cs="Times New Roman"/>
              </w:rPr>
              <w:t>Flexible</w:t>
            </w:r>
          </w:p>
        </w:tc>
        <w:tc>
          <w:tcPr>
            <w:tcW w:w="2551" w:type="dxa"/>
            <w:tcBorders>
              <w:top w:val="nil"/>
              <w:left w:val="nil"/>
              <w:bottom w:val="nil"/>
              <w:right w:val="nil"/>
            </w:tcBorders>
          </w:tcPr>
          <w:p w14:paraId="03FF0643">
            <w:pPr>
              <w:ind w:firstLine="480"/>
              <w:jc w:val="center"/>
              <w:rPr>
                <w:rFonts w:ascii="Times New Roman" w:hAnsi="Times New Roman" w:cs="Times New Roman"/>
              </w:rPr>
            </w:pPr>
            <w:r>
              <w:rPr>
                <w:rFonts w:hint="eastAsia" w:ascii="Times New Roman" w:hAnsi="Times New Roman" w:cs="Times New Roman"/>
              </w:rPr>
              <w:t>4</w:t>
            </w:r>
          </w:p>
        </w:tc>
        <w:tc>
          <w:tcPr>
            <w:tcW w:w="1985" w:type="dxa"/>
            <w:tcBorders>
              <w:top w:val="nil"/>
              <w:left w:val="nil"/>
              <w:bottom w:val="nil"/>
              <w:right w:val="nil"/>
            </w:tcBorders>
          </w:tcPr>
          <w:p w14:paraId="699FE31F">
            <w:pPr>
              <w:ind w:firstLine="480"/>
              <w:jc w:val="center"/>
              <w:rPr>
                <w:rFonts w:ascii="Times New Roman" w:hAnsi="Times New Roman" w:cs="Times New Roman"/>
              </w:rPr>
            </w:pPr>
            <w:r>
              <w:rPr>
                <w:rFonts w:hint="eastAsia" w:ascii="Times New Roman" w:hAnsi="Times New Roman" w:cs="Times New Roman"/>
              </w:rPr>
              <w:t>0.88</w:t>
            </w:r>
          </w:p>
        </w:tc>
        <w:tc>
          <w:tcPr>
            <w:tcW w:w="1701" w:type="dxa"/>
            <w:tcBorders>
              <w:top w:val="nil"/>
              <w:left w:val="nil"/>
              <w:bottom w:val="nil"/>
              <w:right w:val="nil"/>
            </w:tcBorders>
          </w:tcPr>
          <w:p w14:paraId="35D9119A">
            <w:pPr>
              <w:ind w:firstLine="48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EN.CITE &lt;EndNote&gt;&lt;Cite&gt;&lt;Author&gt;Wu&lt;/Author&gt;&lt;Year&gt;2025&lt;/Year&gt;&lt;RecNum&gt;58&lt;/RecNum&gt;&lt;DisplayText&gt;[48]&lt;/DisplayText&gt;&lt;record&gt;&lt;rec-number&gt;58&lt;/rec-number&gt;&lt;foreign-keys&gt;&lt;key app="EN" db-id="wtdsxfd2i2ddr4ed5ru52d5h552fx9dprw9e" timestamp="1752329479"&gt;58&lt;/key&gt;&lt;/foreign-keys&gt;&lt;ref-type name="Journal Article"&gt;17&lt;/ref-type&gt;&lt;contributors&gt;&lt;authors&gt;&lt;author&gt;Wu, Miao&lt;/author&gt;&lt;author&gt;Chen, Cuili&lt;/author&gt;&lt;author&gt;Li, Fengmian&lt;/author&gt;&lt;author&gt;Zhang, Shen&lt;/author&gt;&lt;author&gt;Wang, Hongyang&lt;/author&gt;&lt;author&gt;Liu, Jie&lt;/author&gt;&lt;author&gt;Huang, YongAn&lt;/author&gt;&lt;author&gt;Gao, Shenghan&lt;/author&gt;&lt;author&gt;Wei, Dacheng&lt;/author&gt;&lt;author&gt;Jiang, Lang&lt;/author&gt;&lt;/authors&gt;&lt;/contributors&gt;&lt;titles&gt;&lt;title&gt;All solution-processed organic field-effect transistors with low contact resistance via interface engineering for high-performance flexible circuits&lt;/title&gt;&lt;secondary-title&gt;Science China Materials&lt;/secondary-title&gt;&lt;/titles&gt;&lt;periodical&gt;&lt;full-title&gt;Science China Materials&lt;/full-title&gt;&lt;/periodical&gt;&lt;pages&gt;1-10&lt;/pages&gt;&lt;dates&gt;&lt;year&gt;2025&lt;/year&gt;&lt;/dates&gt;&lt;isbn&gt;2095-8226&lt;/isbn&gt;&lt;urls&gt;&lt;/urls&gt;&lt;/record&gt;&lt;/Cite&gt;&lt;/EndNote&gt;</w:instrText>
            </w:r>
            <w:r>
              <w:rPr>
                <w:rFonts w:ascii="Times New Roman" w:hAnsi="Times New Roman" w:cs="Times New Roman"/>
              </w:rPr>
              <w:fldChar w:fldCharType="separate"/>
            </w:r>
            <w:r>
              <w:rPr>
                <w:rFonts w:ascii="Times New Roman" w:hAnsi="Times New Roman" w:cs="Times New Roman"/>
              </w:rPr>
              <w:t>[</w:t>
            </w:r>
            <w:r>
              <w:fldChar w:fldCharType="begin"/>
            </w:r>
            <w:r>
              <w:instrText xml:space="preserve"> HYPERLINK \l "_ENREF_48" \o "Wu, 2025 #58" </w:instrText>
            </w:r>
            <w:r>
              <w:fldChar w:fldCharType="separate"/>
            </w:r>
            <w:r>
              <w:rPr>
                <w:rFonts w:hint="eastAsia" w:ascii="Times New Roman" w:hAnsi="Times New Roman" w:cs="Times New Roman"/>
              </w:rPr>
              <w:t>2</w:t>
            </w:r>
            <w:r>
              <w:rPr>
                <w:rFonts w:hint="eastAsia"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end"/>
            </w:r>
          </w:p>
        </w:tc>
      </w:tr>
      <w:tr w14:paraId="3DF2E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Borders>
              <w:top w:val="nil"/>
              <w:left w:val="nil"/>
              <w:bottom w:val="nil"/>
              <w:right w:val="nil"/>
            </w:tcBorders>
          </w:tcPr>
          <w:p w14:paraId="0136C72A">
            <w:pPr>
              <w:ind w:firstLine="480"/>
              <w:jc w:val="center"/>
              <w:rPr>
                <w:rFonts w:ascii="Times New Roman" w:hAnsi="Times New Roman" w:cs="Times New Roman"/>
              </w:rPr>
            </w:pPr>
            <w:r>
              <w:rPr>
                <w:rFonts w:ascii="Times New Roman" w:hAnsi="Times New Roman" w:cs="Times New Roman"/>
              </w:rPr>
              <w:t>Flexible</w:t>
            </w:r>
          </w:p>
        </w:tc>
        <w:tc>
          <w:tcPr>
            <w:tcW w:w="2551" w:type="dxa"/>
            <w:tcBorders>
              <w:top w:val="nil"/>
              <w:left w:val="nil"/>
              <w:bottom w:val="nil"/>
              <w:right w:val="nil"/>
            </w:tcBorders>
          </w:tcPr>
          <w:p w14:paraId="2D835486">
            <w:pPr>
              <w:ind w:firstLine="480"/>
              <w:jc w:val="center"/>
              <w:rPr>
                <w:rFonts w:ascii="Times New Roman" w:hAnsi="Times New Roman" w:cs="Times New Roman"/>
              </w:rPr>
            </w:pPr>
            <w:r>
              <w:rPr>
                <w:rFonts w:hint="eastAsia" w:ascii="Times New Roman" w:hAnsi="Times New Roman" w:cs="Times New Roman"/>
              </w:rPr>
              <w:t>7</w:t>
            </w:r>
          </w:p>
        </w:tc>
        <w:tc>
          <w:tcPr>
            <w:tcW w:w="1985" w:type="dxa"/>
            <w:tcBorders>
              <w:top w:val="nil"/>
              <w:left w:val="nil"/>
              <w:bottom w:val="nil"/>
              <w:right w:val="nil"/>
            </w:tcBorders>
          </w:tcPr>
          <w:p w14:paraId="224E7059">
            <w:pPr>
              <w:ind w:firstLine="480"/>
              <w:jc w:val="center"/>
              <w:rPr>
                <w:rFonts w:ascii="Times New Roman" w:hAnsi="Times New Roman" w:cs="Times New Roman"/>
              </w:rPr>
            </w:pPr>
            <w:r>
              <w:rPr>
                <w:rFonts w:hint="eastAsia" w:ascii="Times New Roman" w:hAnsi="Times New Roman" w:cs="Times New Roman"/>
              </w:rPr>
              <w:t>0.9</w:t>
            </w:r>
          </w:p>
        </w:tc>
        <w:tc>
          <w:tcPr>
            <w:tcW w:w="1701" w:type="dxa"/>
            <w:tcBorders>
              <w:top w:val="nil"/>
              <w:left w:val="nil"/>
              <w:bottom w:val="nil"/>
              <w:right w:val="nil"/>
            </w:tcBorders>
          </w:tcPr>
          <w:p w14:paraId="3638D93E">
            <w:pPr>
              <w:ind w:firstLine="48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EN.CITE &lt;EndNote&gt;&lt;Cite&gt;&lt;Author&gt;Nguyen&lt;/Author&gt;&lt;Year&gt;2023&lt;/Year&gt;&lt;RecNum&gt;59&lt;/RecNum&gt;&lt;DisplayText&gt;[49]&lt;/DisplayText&gt;&lt;record&gt;&lt;rec-number&gt;59&lt;/rec-number&gt;&lt;foreign-keys&gt;&lt;key app="EN" db-id="wtdsxfd2i2ddr4ed5ru52d5h552fx9dprw9e" timestamp="1752329691"&gt;59&lt;/key&gt;&lt;/foreign-keys&gt;&lt;ref-type name="Journal Article"&gt;17&lt;/ref-type&gt;&lt;contributors&gt;&lt;authors&gt;&lt;author&gt;Nguyen, Malgorzata&lt;/author&gt;&lt;author&gt;Kraft, Ulrike&lt;/author&gt;&lt;author&gt;Tan, Wen Liang&lt;/author&gt;&lt;author&gt;Dobryden, Illia&lt;/author&gt;&lt;author&gt;Broch, Katharina&lt;/author&gt;&lt;author&gt;Zhang, Weimin&lt;/author&gt;&lt;author&gt;Un, Hio‐Ieng&lt;/author&gt;&lt;author&gt;Simatos, Dimitrios&lt;/author&gt;&lt;author&gt;Venkateshavaran, Deepak&lt;/author&gt;&lt;author&gt;McCulloch, Iain&lt;/author&gt;&lt;/authors&gt;&lt;/contributors&gt;&lt;titles&gt;&lt;title&gt;Improving OFF‐State Bias‐Stress Stability in High‐Mobility Conjugated Polymer Transistors with an Antisolvent Treatment&lt;/title&gt;&lt;secondary-title&gt;Advanced Materials&lt;/secondary-title&gt;&lt;/titles&gt;&lt;periodical&gt;&lt;full-title&gt;Advanced Materials&lt;/full-title&gt;&lt;abbr-1&gt;Adv Mater&lt;/abbr-1&gt;&lt;/periodical&gt;&lt;pages&gt;2205377&lt;/pages&gt;&lt;volume&gt;35&lt;/volume&gt;&lt;number&gt;16&lt;/number&gt;&lt;dates&gt;&lt;year&gt;2023&lt;/year&gt;&lt;/dates&gt;&lt;isbn&gt;0935-9648&lt;/isbn&gt;&lt;urls&gt;&lt;/urls&gt;&lt;/record&gt;&lt;/Cite&gt;&lt;/EndNote&gt;</w:instrText>
            </w:r>
            <w:r>
              <w:rPr>
                <w:rFonts w:ascii="Times New Roman" w:hAnsi="Times New Roman" w:cs="Times New Roman"/>
              </w:rPr>
              <w:fldChar w:fldCharType="separate"/>
            </w:r>
            <w:r>
              <w:rPr>
                <w:rFonts w:ascii="Times New Roman" w:hAnsi="Times New Roman" w:cs="Times New Roman"/>
              </w:rPr>
              <w:t>[</w:t>
            </w:r>
            <w:r>
              <w:fldChar w:fldCharType="begin"/>
            </w:r>
            <w:r>
              <w:instrText xml:space="preserve"> HYPERLINK \l "_ENREF_49" \o "Nguyen, 2023 #59" </w:instrText>
            </w:r>
            <w:r>
              <w:fldChar w:fldCharType="separate"/>
            </w:r>
            <w:r>
              <w:rPr>
                <w:rFonts w:hint="eastAsia" w:ascii="Times New Roman" w:hAnsi="Times New Roman" w:cs="Times New Roman"/>
              </w:rPr>
              <w:t>3</w:t>
            </w:r>
            <w:r>
              <w:rPr>
                <w:rFonts w:hint="eastAsia"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end"/>
            </w:r>
          </w:p>
        </w:tc>
      </w:tr>
      <w:tr w14:paraId="3810D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Borders>
              <w:top w:val="nil"/>
              <w:left w:val="nil"/>
              <w:bottom w:val="nil"/>
              <w:right w:val="nil"/>
            </w:tcBorders>
          </w:tcPr>
          <w:p w14:paraId="2A5FC880">
            <w:pPr>
              <w:ind w:firstLine="480"/>
              <w:jc w:val="center"/>
              <w:rPr>
                <w:rFonts w:ascii="Times New Roman" w:hAnsi="Times New Roman" w:cs="Times New Roman"/>
              </w:rPr>
            </w:pPr>
            <w:r>
              <w:rPr>
                <w:rFonts w:ascii="Times New Roman" w:hAnsi="Times New Roman" w:cs="Times New Roman"/>
              </w:rPr>
              <w:t>Flexible</w:t>
            </w:r>
          </w:p>
        </w:tc>
        <w:tc>
          <w:tcPr>
            <w:tcW w:w="2551" w:type="dxa"/>
            <w:tcBorders>
              <w:top w:val="nil"/>
              <w:left w:val="nil"/>
              <w:bottom w:val="nil"/>
              <w:right w:val="nil"/>
            </w:tcBorders>
          </w:tcPr>
          <w:p w14:paraId="379B91C5">
            <w:pPr>
              <w:ind w:firstLine="480"/>
              <w:jc w:val="center"/>
              <w:rPr>
                <w:rFonts w:ascii="Times New Roman" w:hAnsi="Times New Roman" w:cs="Times New Roman"/>
              </w:rPr>
            </w:pPr>
            <w:r>
              <w:rPr>
                <w:rFonts w:hint="eastAsia" w:ascii="Times New Roman" w:hAnsi="Times New Roman" w:cs="Times New Roman"/>
              </w:rPr>
              <w:t>16</w:t>
            </w:r>
          </w:p>
        </w:tc>
        <w:tc>
          <w:tcPr>
            <w:tcW w:w="1985" w:type="dxa"/>
            <w:tcBorders>
              <w:top w:val="nil"/>
              <w:left w:val="nil"/>
              <w:bottom w:val="nil"/>
              <w:right w:val="nil"/>
            </w:tcBorders>
          </w:tcPr>
          <w:p w14:paraId="6634000A">
            <w:pPr>
              <w:ind w:firstLine="480"/>
              <w:jc w:val="center"/>
              <w:rPr>
                <w:rFonts w:ascii="Times New Roman" w:hAnsi="Times New Roman" w:cs="Times New Roman"/>
              </w:rPr>
            </w:pPr>
            <w:r>
              <w:rPr>
                <w:rFonts w:hint="eastAsia" w:ascii="Times New Roman" w:hAnsi="Times New Roman" w:cs="Times New Roman"/>
              </w:rPr>
              <w:t>0.35</w:t>
            </w:r>
          </w:p>
        </w:tc>
        <w:tc>
          <w:tcPr>
            <w:tcW w:w="1701" w:type="dxa"/>
            <w:tcBorders>
              <w:top w:val="nil"/>
              <w:left w:val="nil"/>
              <w:bottom w:val="nil"/>
              <w:right w:val="nil"/>
            </w:tcBorders>
          </w:tcPr>
          <w:p w14:paraId="73F278CA">
            <w:pPr>
              <w:ind w:firstLine="48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EN.CITE &lt;EndNote&gt;&lt;Cite&gt;&lt;Author&gt;Jin&lt;/Author&gt;&lt;Year&gt;2024&lt;/Year&gt;&lt;RecNum&gt;61&lt;/RecNum&gt;&lt;DisplayText&gt;[50]&lt;/DisplayText&gt;&lt;record&gt;&lt;rec-number&gt;61&lt;/rec-number&gt;&lt;foreign-keys&gt;&lt;key app="EN" db-id="wtdsxfd2i2ddr4ed5ru52d5h552fx9dprw9e" timestamp="1752330512"&gt;61&lt;/key&gt;&lt;/foreign-keys&gt;&lt;ref-type name="Journal Article"&gt;17&lt;/ref-type&gt;&lt;contributors&gt;&lt;authors&gt;&lt;author&gt;Jin, Tianya&lt;/author&gt;&lt;author&gt;Li, Jichen&lt;/author&gt;&lt;author&gt;Li, Hongxiang&lt;/author&gt;&lt;author&gt;Liu, Xinyu&lt;/author&gt;&lt;author&gt;Li, Junhang&lt;/author&gt;&lt;author&gt;Zhang, Qiang&lt;/author&gt;&lt;author&gt;Yu, Xinhong&lt;/author&gt;&lt;author&gt;Duan, Xiaozheng&lt;/author&gt;&lt;author&gt;Han, Yanchun&lt;/author&gt;&lt;/authors&gt;&lt;/contributors&gt;&lt;titles&gt;&lt;title&gt;Improving the hole mobility of conjugated semiconducting polymer films by fast backbone aggregation during the film formation process&lt;/title&gt;&lt;secondary-title&gt;Journal of Materials Chemistry C&lt;/secondary-title&gt;&lt;/titles&gt;&lt;periodical&gt;&lt;full-title&gt;Journal of Materials Chemistry C&lt;/full-title&gt;&lt;abbr-1&gt;J Mater Chem C&lt;/abbr-1&gt;&lt;/periodical&gt;&lt;pages&gt;5047-5061&lt;/pages&gt;&lt;volume&gt;12&lt;/volume&gt;&lt;number&gt;14&lt;/number&gt;&lt;dates&gt;&lt;year&gt;2024&lt;/year&gt;&lt;/dates&gt;&lt;urls&gt;&lt;/urls&gt;&lt;/record&gt;&lt;/Cite&gt;&lt;/EndNote&gt;</w:instrText>
            </w:r>
            <w:r>
              <w:rPr>
                <w:rFonts w:ascii="Times New Roman" w:hAnsi="Times New Roman" w:cs="Times New Roman"/>
              </w:rPr>
              <w:fldChar w:fldCharType="separate"/>
            </w:r>
            <w:r>
              <w:rPr>
                <w:rFonts w:ascii="Times New Roman" w:hAnsi="Times New Roman" w:cs="Times New Roman"/>
              </w:rPr>
              <w:t>[</w:t>
            </w:r>
            <w:r>
              <w:fldChar w:fldCharType="begin"/>
            </w:r>
            <w:r>
              <w:instrText xml:space="preserve"> HYPERLINK \l "_ENREF_50" \o "Jin, 2024 #61" </w:instrText>
            </w:r>
            <w:r>
              <w:fldChar w:fldCharType="separate"/>
            </w:r>
            <w:r>
              <w:rPr>
                <w:rFonts w:hint="eastAsia" w:ascii="Times New Roman" w:hAnsi="Times New Roman" w:cs="Times New Roman"/>
              </w:rPr>
              <w:t>4</w:t>
            </w:r>
            <w:r>
              <w:rPr>
                <w:rFonts w:hint="eastAsia"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end"/>
            </w:r>
          </w:p>
        </w:tc>
      </w:tr>
      <w:tr w14:paraId="237BA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Borders>
              <w:top w:val="nil"/>
              <w:left w:val="nil"/>
              <w:bottom w:val="nil"/>
              <w:right w:val="nil"/>
            </w:tcBorders>
          </w:tcPr>
          <w:p w14:paraId="786B082C">
            <w:pPr>
              <w:ind w:firstLine="480"/>
              <w:jc w:val="center"/>
              <w:rPr>
                <w:rFonts w:ascii="Times New Roman" w:hAnsi="Times New Roman" w:cs="Times New Roman"/>
              </w:rPr>
            </w:pPr>
            <w:r>
              <w:rPr>
                <w:rFonts w:ascii="Times New Roman" w:hAnsi="Times New Roman" w:cs="Times New Roman"/>
              </w:rPr>
              <w:t>Flexible</w:t>
            </w:r>
          </w:p>
        </w:tc>
        <w:tc>
          <w:tcPr>
            <w:tcW w:w="2551" w:type="dxa"/>
            <w:tcBorders>
              <w:top w:val="nil"/>
              <w:left w:val="nil"/>
              <w:bottom w:val="nil"/>
              <w:right w:val="nil"/>
            </w:tcBorders>
          </w:tcPr>
          <w:p w14:paraId="3D2577B8">
            <w:pPr>
              <w:ind w:firstLine="480"/>
              <w:jc w:val="center"/>
              <w:rPr>
                <w:rFonts w:ascii="Times New Roman" w:hAnsi="Times New Roman" w:cs="Times New Roman"/>
              </w:rPr>
            </w:pPr>
            <w:r>
              <w:rPr>
                <w:rFonts w:hint="eastAsia" w:ascii="Times New Roman" w:hAnsi="Times New Roman" w:cs="Times New Roman"/>
              </w:rPr>
              <w:t>347</w:t>
            </w:r>
          </w:p>
        </w:tc>
        <w:tc>
          <w:tcPr>
            <w:tcW w:w="1985" w:type="dxa"/>
            <w:tcBorders>
              <w:top w:val="nil"/>
              <w:left w:val="nil"/>
              <w:bottom w:val="nil"/>
              <w:right w:val="nil"/>
            </w:tcBorders>
          </w:tcPr>
          <w:p w14:paraId="616EB1DF">
            <w:pPr>
              <w:ind w:firstLine="480"/>
              <w:jc w:val="center"/>
              <w:rPr>
                <w:rFonts w:ascii="Times New Roman" w:hAnsi="Times New Roman" w:cs="Times New Roman"/>
              </w:rPr>
            </w:pPr>
            <w:r>
              <w:rPr>
                <w:rFonts w:hint="eastAsia" w:ascii="Times New Roman" w:hAnsi="Times New Roman" w:cs="Times New Roman"/>
              </w:rPr>
              <w:t>1.11</w:t>
            </w:r>
          </w:p>
        </w:tc>
        <w:tc>
          <w:tcPr>
            <w:tcW w:w="1701" w:type="dxa"/>
            <w:tcBorders>
              <w:top w:val="nil"/>
              <w:left w:val="nil"/>
              <w:bottom w:val="nil"/>
              <w:right w:val="nil"/>
            </w:tcBorders>
          </w:tcPr>
          <w:p w14:paraId="6EAAA4A8">
            <w:pPr>
              <w:ind w:firstLine="48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EN.CITE &lt;EndNote&gt;&lt;Cite&gt;&lt;Author&gt;Zeidell&lt;/Author&gt;&lt;Year&gt;2020&lt;/Year&gt;&lt;RecNum&gt;62&lt;/RecNum&gt;&lt;DisplayText&gt;[51]&lt;/DisplayText&gt;&lt;record&gt;&lt;rec-number&gt;62&lt;/rec-number&gt;&lt;foreign-keys&gt;&lt;key app="EN" db-id="wtdsxfd2i2ddr4ed5ru52d5h552fx9dprw9e" timestamp="1752330707"&gt;62&lt;/key&gt;&lt;/foreign-keys&gt;&lt;ref-type name="Journal Article"&gt;17&lt;/ref-type&gt;&lt;contributors&gt;&lt;authors&gt;&lt;author&gt;Zeidell, Andrew M&lt;/author&gt;&lt;author&gt;Filston, David S&lt;/author&gt;&lt;author&gt;Waldrip, Matthew&lt;/author&gt;&lt;author&gt;Iqbal, Hamna F&lt;/author&gt;&lt;author&gt;Chen, Hu&lt;/author&gt;&lt;author&gt;McCulloch, Iain&lt;/author&gt;&lt;author&gt;Jurchescu, Oana D&lt;/author&gt;&lt;/authors&gt;&lt;/contributors&gt;&lt;titles&gt;&lt;title&gt;Large‐area uniform polymer transistor arrays on flexible substrates: towards high‐throughput sensor fabrication&lt;/title&gt;&lt;secondary-title&gt;Advanced Materials Technologies&lt;/secondary-title&gt;&lt;/titles&gt;&lt;periodical&gt;&lt;full-title&gt;Advanced Materials Technologies&lt;/full-title&gt;&lt;/periodical&gt;&lt;pages&gt;2000390&lt;/pages&gt;&lt;volume&gt;5&lt;/volume&gt;&lt;number&gt;8&lt;/number&gt;&lt;dates&gt;&lt;year&gt;2020&lt;/year&gt;&lt;/dates&gt;&lt;isbn&gt;2365-709X&lt;/isbn&gt;&lt;urls&gt;&lt;/urls&gt;&lt;/record&gt;&lt;/Cite&gt;&lt;/EndNote&gt;</w:instrText>
            </w:r>
            <w:r>
              <w:rPr>
                <w:rFonts w:ascii="Times New Roman" w:hAnsi="Times New Roman" w:cs="Times New Roman"/>
              </w:rPr>
              <w:fldChar w:fldCharType="separate"/>
            </w:r>
            <w:r>
              <w:rPr>
                <w:rFonts w:ascii="Times New Roman" w:hAnsi="Times New Roman" w:cs="Times New Roman"/>
              </w:rPr>
              <w:t>[</w:t>
            </w:r>
            <w:r>
              <w:fldChar w:fldCharType="begin"/>
            </w:r>
            <w:r>
              <w:instrText xml:space="preserve"> HYPERLINK \l "_ENREF_51" \o "Zeidell, 2020 #62" </w:instrText>
            </w:r>
            <w:r>
              <w:fldChar w:fldCharType="separate"/>
            </w:r>
            <w:r>
              <w:rPr>
                <w:rFonts w:hint="eastAsia" w:ascii="Times New Roman" w:hAnsi="Times New Roman" w:cs="Times New Roman"/>
              </w:rPr>
              <w:t>5</w:t>
            </w:r>
            <w:r>
              <w:rPr>
                <w:rFonts w:hint="eastAsia"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end"/>
            </w:r>
          </w:p>
        </w:tc>
      </w:tr>
      <w:tr w14:paraId="433A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Borders>
              <w:top w:val="nil"/>
              <w:left w:val="nil"/>
              <w:bottom w:val="nil"/>
              <w:right w:val="nil"/>
            </w:tcBorders>
          </w:tcPr>
          <w:p w14:paraId="5A1ED5AB">
            <w:pPr>
              <w:ind w:firstLine="480"/>
              <w:jc w:val="center"/>
              <w:rPr>
                <w:rFonts w:ascii="Times New Roman" w:hAnsi="Times New Roman" w:cs="Times New Roman"/>
              </w:rPr>
            </w:pPr>
            <w:r>
              <w:rPr>
                <w:rFonts w:ascii="Times New Roman" w:hAnsi="Times New Roman" w:cs="Times New Roman"/>
              </w:rPr>
              <w:t>Flexible</w:t>
            </w:r>
          </w:p>
        </w:tc>
        <w:tc>
          <w:tcPr>
            <w:tcW w:w="2551" w:type="dxa"/>
            <w:tcBorders>
              <w:top w:val="nil"/>
              <w:left w:val="nil"/>
              <w:bottom w:val="nil"/>
              <w:right w:val="nil"/>
            </w:tcBorders>
          </w:tcPr>
          <w:p w14:paraId="6BF7E79F">
            <w:pPr>
              <w:ind w:firstLine="480"/>
              <w:jc w:val="center"/>
              <w:rPr>
                <w:rFonts w:ascii="Times New Roman" w:hAnsi="Times New Roman" w:cs="Times New Roman"/>
              </w:rPr>
            </w:pPr>
            <w:r>
              <w:rPr>
                <w:rFonts w:hint="eastAsia" w:ascii="Times New Roman" w:hAnsi="Times New Roman" w:cs="Times New Roman"/>
              </w:rPr>
              <w:t>375</w:t>
            </w:r>
          </w:p>
        </w:tc>
        <w:tc>
          <w:tcPr>
            <w:tcW w:w="1985" w:type="dxa"/>
            <w:tcBorders>
              <w:top w:val="nil"/>
              <w:left w:val="nil"/>
              <w:bottom w:val="nil"/>
              <w:right w:val="nil"/>
            </w:tcBorders>
          </w:tcPr>
          <w:p w14:paraId="207DAB2F">
            <w:pPr>
              <w:ind w:firstLine="480"/>
              <w:jc w:val="center"/>
              <w:rPr>
                <w:rFonts w:ascii="Times New Roman" w:hAnsi="Times New Roman" w:cs="Times New Roman"/>
              </w:rPr>
            </w:pPr>
            <w:r>
              <w:rPr>
                <w:rFonts w:hint="eastAsia" w:ascii="Times New Roman" w:hAnsi="Times New Roman" w:cs="Times New Roman"/>
              </w:rPr>
              <w:t>1.08</w:t>
            </w:r>
          </w:p>
        </w:tc>
        <w:tc>
          <w:tcPr>
            <w:tcW w:w="1701" w:type="dxa"/>
            <w:tcBorders>
              <w:top w:val="nil"/>
              <w:left w:val="nil"/>
              <w:bottom w:val="nil"/>
              <w:right w:val="nil"/>
            </w:tcBorders>
          </w:tcPr>
          <w:p w14:paraId="101CFD9F">
            <w:pPr>
              <w:ind w:firstLine="48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EN.CITE &lt;EndNote&gt;&lt;Cite&gt;&lt;Author&gt;Zhang&lt;/Author&gt;&lt;Year&gt;2024&lt;/Year&gt;&lt;RecNum&gt;60&lt;/RecNum&gt;&lt;DisplayText&gt;[52]&lt;/DisplayText&gt;&lt;record&gt;&lt;rec-number&gt;60&lt;/rec-number&gt;&lt;foreign-keys&gt;&lt;key app="EN" db-id="wtdsxfd2i2ddr4ed5ru52d5h552fx9dprw9e" timestamp="1752329851"&gt;60&lt;/key&gt;&lt;/foreign-keys&gt;&lt;ref-type name="Journal Article"&gt;17&lt;/ref-type&gt;&lt;contributors&gt;&lt;authors&gt;&lt;author&gt;Zhang, Mingxin&lt;/author&gt;&lt;author&gt;Sun, Jing&lt;/author&gt;&lt;author&gt;Zhao, Guodong&lt;/author&gt;&lt;author&gt;Tong, Yanhong&lt;/author&gt;&lt;author&gt;Wang, Xue&lt;/author&gt;&lt;author&gt;Yu, Hongyan&lt;/author&gt;&lt;author&gt;Xue, Peng&lt;/author&gt;&lt;author&gt;Zhao, Xiaoli&lt;/author&gt;&lt;author&gt;Tang, Qingxin&lt;/author&gt;&lt;author&gt;Liu, Yichun&lt;/author&gt;&lt;/authors&gt;&lt;/contributors&gt;&lt;titles&gt;&lt;title&gt;Dielectric Design of High Dielectric Constant Poly (Urea‐Urethane) Elastomer for Low‐Voltage High‐Mobility Intrinsically Stretchable All‐Solution‐Processed Organic Transistors&lt;/title&gt;&lt;secondary-title&gt;Small&lt;/secondary-title&gt;&lt;/titles&gt;&lt;periodical&gt;&lt;full-title&gt;Small&lt;/full-title&gt;&lt;/periodical&gt;&lt;pages&gt;2311527&lt;/pages&gt;&lt;volume&gt;20&lt;/volume&gt;&lt;number&gt;29&lt;/number&gt;&lt;dates&gt;&lt;year&gt;2024&lt;/year&gt;&lt;/dates&gt;&lt;isbn&gt;1613-6810&lt;/isbn&gt;&lt;urls&gt;&lt;/urls&gt;&lt;/record&gt;&lt;/Cite&gt;&lt;/EndNote&gt;</w:instrText>
            </w:r>
            <w:r>
              <w:rPr>
                <w:rFonts w:ascii="Times New Roman" w:hAnsi="Times New Roman" w:cs="Times New Roman"/>
              </w:rPr>
              <w:fldChar w:fldCharType="separate"/>
            </w:r>
            <w:r>
              <w:rPr>
                <w:rFonts w:ascii="Times New Roman" w:hAnsi="Times New Roman" w:cs="Times New Roman"/>
              </w:rPr>
              <w:t>[</w:t>
            </w:r>
            <w:r>
              <w:fldChar w:fldCharType="begin"/>
            </w:r>
            <w:r>
              <w:instrText xml:space="preserve"> HYPERLINK \l "_ENREF_52" \o "Zhang, 2024 #60" </w:instrText>
            </w:r>
            <w:r>
              <w:fldChar w:fldCharType="separate"/>
            </w:r>
            <w:r>
              <w:rPr>
                <w:rFonts w:hint="eastAsia" w:ascii="Times New Roman" w:hAnsi="Times New Roman" w:cs="Times New Roman"/>
              </w:rPr>
              <w:t>6</w:t>
            </w:r>
            <w:r>
              <w:rPr>
                <w:rFonts w:hint="eastAsia"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end"/>
            </w:r>
          </w:p>
        </w:tc>
      </w:tr>
      <w:tr w14:paraId="6F9C5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Borders>
              <w:top w:val="nil"/>
              <w:left w:val="nil"/>
              <w:bottom w:val="nil"/>
              <w:right w:val="nil"/>
            </w:tcBorders>
          </w:tcPr>
          <w:p w14:paraId="36FBA2C9">
            <w:pPr>
              <w:ind w:firstLine="480"/>
              <w:jc w:val="center"/>
              <w:rPr>
                <w:rFonts w:ascii="Times New Roman" w:hAnsi="Times New Roman" w:cs="Times New Roman"/>
              </w:rPr>
            </w:pPr>
            <w:r>
              <w:rPr>
                <w:rFonts w:ascii="Times New Roman" w:hAnsi="Times New Roman" w:cs="Times New Roman"/>
              </w:rPr>
              <w:t>Flexible</w:t>
            </w:r>
          </w:p>
        </w:tc>
        <w:tc>
          <w:tcPr>
            <w:tcW w:w="2551" w:type="dxa"/>
            <w:tcBorders>
              <w:top w:val="nil"/>
              <w:left w:val="nil"/>
              <w:bottom w:val="nil"/>
              <w:right w:val="nil"/>
            </w:tcBorders>
          </w:tcPr>
          <w:p w14:paraId="6EA0CE23">
            <w:pPr>
              <w:ind w:firstLine="480"/>
              <w:jc w:val="center"/>
              <w:rPr>
                <w:rFonts w:ascii="Times New Roman" w:hAnsi="Times New Roman" w:cs="Times New Roman"/>
              </w:rPr>
            </w:pPr>
            <w:r>
              <w:rPr>
                <w:rFonts w:hint="eastAsia" w:ascii="Times New Roman" w:hAnsi="Times New Roman" w:cs="Times New Roman"/>
              </w:rPr>
              <w:t>1560</w:t>
            </w:r>
          </w:p>
        </w:tc>
        <w:tc>
          <w:tcPr>
            <w:tcW w:w="1985" w:type="dxa"/>
            <w:tcBorders>
              <w:top w:val="nil"/>
              <w:left w:val="nil"/>
              <w:bottom w:val="nil"/>
              <w:right w:val="nil"/>
            </w:tcBorders>
          </w:tcPr>
          <w:p w14:paraId="2A10FBBE">
            <w:pPr>
              <w:ind w:firstLine="480"/>
              <w:jc w:val="center"/>
              <w:rPr>
                <w:rFonts w:ascii="Times New Roman" w:hAnsi="Times New Roman" w:cs="Times New Roman"/>
              </w:rPr>
            </w:pPr>
            <w:r>
              <w:rPr>
                <w:rFonts w:hint="eastAsia" w:ascii="Times New Roman" w:hAnsi="Times New Roman" w:cs="Times New Roman"/>
              </w:rPr>
              <w:t>1-2</w:t>
            </w:r>
          </w:p>
        </w:tc>
        <w:tc>
          <w:tcPr>
            <w:tcW w:w="1701" w:type="dxa"/>
            <w:tcBorders>
              <w:top w:val="nil"/>
              <w:left w:val="nil"/>
              <w:bottom w:val="nil"/>
              <w:right w:val="nil"/>
            </w:tcBorders>
          </w:tcPr>
          <w:p w14:paraId="68967892">
            <w:pPr>
              <w:ind w:firstLine="48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EN.CITE &lt;EndNote&gt;&lt;Cite&gt;&lt;Author&gt;Zhao&lt;/Author&gt;&lt;Year&gt;2024&lt;/Year&gt;&lt;RecNum&gt;63&lt;/RecNum&gt;&lt;DisplayText&gt;[18]&lt;/DisplayText&gt;&lt;record&gt;&lt;rec-number&gt;63&lt;/rec-number&gt;&lt;foreign-keys&gt;&lt;key app="EN" db-id="wtdsxfd2i2ddr4ed5ru52d5h552fx9dprw9e" timestamp="1752330784"&gt;63&lt;/key&gt;&lt;/foreign-keys&gt;&lt;ref-type name="Journal Article"&gt;17&lt;/ref-type&gt;&lt;contributors&gt;&lt;authors&gt;&lt;author&gt;Zhao, Pengfei&lt;/author&gt;&lt;author&gt;Wang, Xue&lt;/author&gt;&lt;author&gt;Tong, Yanhong&lt;/author&gt;&lt;author&gt;Zhao, Xiaoli&lt;/author&gt;&lt;author&gt;Tang, Qingxin&lt;/author&gt;&lt;author&gt;Liu, Yichun&lt;/author&gt;&lt;/authors&gt;&lt;/contributors&gt;&lt;titles&gt;&lt;title&gt;Transfer‐Printing of Insoluble Conducting Polymer for Soft 3D Conformal All‐Organic Transistors&lt;/title&gt;&lt;secondary-title&gt;Small&lt;/secondary-title&gt;&lt;/titles&gt;&lt;periodical&gt;&lt;full-title&gt;Small&lt;/full-title&gt;&lt;/periodical&gt;&lt;pages&gt;2309263&lt;/pages&gt;&lt;volume&gt;20&lt;/volume&gt;&lt;number&gt;28&lt;/number&gt;&lt;dates&gt;&lt;year&gt;2024&lt;/year&gt;&lt;/dates&gt;&lt;isbn&gt;1613-6810&lt;/isbn&gt;&lt;urls&gt;&lt;/urls&gt;&lt;/record&gt;&lt;/Cite&gt;&lt;/EndNote&gt;</w:instrText>
            </w:r>
            <w:r>
              <w:rPr>
                <w:rFonts w:ascii="Times New Roman" w:hAnsi="Times New Roman" w:cs="Times New Roman"/>
              </w:rPr>
              <w:fldChar w:fldCharType="separate"/>
            </w:r>
            <w:r>
              <w:rPr>
                <w:rFonts w:ascii="Times New Roman" w:hAnsi="Times New Roman" w:cs="Times New Roman"/>
              </w:rPr>
              <w:t>[</w:t>
            </w:r>
            <w:r>
              <w:fldChar w:fldCharType="begin"/>
            </w:r>
            <w:r>
              <w:instrText xml:space="preserve"> HYPERLINK \l "_ENREF_18" \o "Zhao, 2024 #15" </w:instrText>
            </w:r>
            <w:r>
              <w:fldChar w:fldCharType="separate"/>
            </w:r>
            <w:r>
              <w:rPr>
                <w:rFonts w:hint="eastAsia" w:ascii="Times New Roman" w:hAnsi="Times New Roman" w:cs="Times New Roman"/>
              </w:rPr>
              <w:t>7</w:t>
            </w:r>
            <w:r>
              <w:rPr>
                <w:rFonts w:hint="eastAsia"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end"/>
            </w:r>
          </w:p>
        </w:tc>
      </w:tr>
      <w:tr w14:paraId="25198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Borders>
              <w:top w:val="nil"/>
              <w:left w:val="nil"/>
              <w:bottom w:val="single" w:color="auto" w:sz="4" w:space="0"/>
              <w:right w:val="nil"/>
            </w:tcBorders>
          </w:tcPr>
          <w:p w14:paraId="5CA861F3">
            <w:pPr>
              <w:ind w:firstLine="480"/>
              <w:jc w:val="center"/>
              <w:rPr>
                <w:rFonts w:ascii="Times New Roman" w:hAnsi="Times New Roman" w:cs="Times New Roman"/>
              </w:rPr>
            </w:pPr>
            <w:r>
              <w:rPr>
                <w:rFonts w:ascii="Times New Roman" w:hAnsi="Times New Roman" w:cs="Times New Roman"/>
              </w:rPr>
              <w:t>Flexible</w:t>
            </w:r>
          </w:p>
        </w:tc>
        <w:tc>
          <w:tcPr>
            <w:tcW w:w="2551" w:type="dxa"/>
            <w:tcBorders>
              <w:top w:val="nil"/>
              <w:left w:val="nil"/>
              <w:bottom w:val="single" w:color="auto" w:sz="4" w:space="0"/>
              <w:right w:val="nil"/>
            </w:tcBorders>
          </w:tcPr>
          <w:p w14:paraId="42C293D9">
            <w:pPr>
              <w:ind w:firstLine="480"/>
              <w:jc w:val="center"/>
              <w:rPr>
                <w:rFonts w:ascii="Times New Roman" w:hAnsi="Times New Roman" w:cs="Times New Roman"/>
              </w:rPr>
            </w:pPr>
            <w:r>
              <w:rPr>
                <w:rFonts w:hint="eastAsia" w:ascii="Times New Roman" w:hAnsi="Times New Roman" w:cs="Times New Roman"/>
              </w:rPr>
              <w:t>62500</w:t>
            </w:r>
          </w:p>
        </w:tc>
        <w:tc>
          <w:tcPr>
            <w:tcW w:w="1985" w:type="dxa"/>
            <w:tcBorders>
              <w:top w:val="nil"/>
              <w:left w:val="nil"/>
              <w:bottom w:val="single" w:color="auto" w:sz="4" w:space="0"/>
              <w:right w:val="nil"/>
            </w:tcBorders>
          </w:tcPr>
          <w:p w14:paraId="3DAECD3D">
            <w:pPr>
              <w:ind w:firstLine="480"/>
              <w:jc w:val="center"/>
              <w:rPr>
                <w:rFonts w:ascii="Times New Roman" w:hAnsi="Times New Roman" w:cs="Times New Roman"/>
              </w:rPr>
            </w:pPr>
            <w:r>
              <w:rPr>
                <w:rFonts w:ascii="Times New Roman" w:hAnsi="Times New Roman" w:cs="Times New Roman"/>
              </w:rPr>
              <w:t>1</w:t>
            </w:r>
            <w:r>
              <w:rPr>
                <w:rFonts w:hint="eastAsia" w:ascii="Times New Roman" w:hAnsi="Times New Roman" w:cs="Times New Roman"/>
              </w:rPr>
              <w:t>.13</w:t>
            </w:r>
          </w:p>
        </w:tc>
        <w:tc>
          <w:tcPr>
            <w:tcW w:w="1701" w:type="dxa"/>
            <w:tcBorders>
              <w:top w:val="nil"/>
              <w:left w:val="nil"/>
              <w:bottom w:val="single" w:color="auto" w:sz="4" w:space="0"/>
              <w:right w:val="nil"/>
            </w:tcBorders>
          </w:tcPr>
          <w:p w14:paraId="76047C17">
            <w:pPr>
              <w:ind w:firstLine="480"/>
              <w:jc w:val="center"/>
              <w:rPr>
                <w:rFonts w:ascii="Times New Roman" w:hAnsi="Times New Roman" w:cs="Times New Roman"/>
              </w:rPr>
            </w:pPr>
            <w:r>
              <w:rPr>
                <w:rFonts w:hint="eastAsia" w:ascii="Times New Roman" w:hAnsi="Times New Roman" w:cs="Times New Roman"/>
              </w:rPr>
              <w:t>This work</w:t>
            </w:r>
          </w:p>
        </w:tc>
      </w:tr>
    </w:tbl>
    <w:p w14:paraId="1B0AABB3">
      <w:pPr>
        <w:rPr>
          <w:rFonts w:ascii="Times New Roman" w:hAnsi="Times New Roman" w:cs="Times New Roman"/>
          <w:b/>
          <w:bCs/>
        </w:rPr>
      </w:pPr>
    </w:p>
    <w:p w14:paraId="09A29926">
      <w:pPr>
        <w:rPr>
          <w:rFonts w:ascii="Times New Roman" w:hAnsi="Times New Roman" w:cs="Times New Roman"/>
          <w:b/>
          <w:bCs/>
        </w:rPr>
      </w:pPr>
    </w:p>
    <w:p w14:paraId="490B1977">
      <w:pPr>
        <w:jc w:val="center"/>
        <w:rPr>
          <w:rFonts w:ascii="Times New Roman" w:hAnsi="Times New Roman" w:cs="Times New Roman"/>
          <w:b/>
          <w:bCs/>
        </w:rPr>
      </w:pPr>
      <w:r>
        <w:rPr>
          <w:rFonts w:hint="eastAsia" w:ascii="Times New Roman" w:hAnsi="Times New Roman" w:cs="Times New Roman"/>
          <w:b/>
          <w:bCs/>
        </w:rPr>
        <w:t>Table S1</w:t>
      </w:r>
      <w:r>
        <w:rPr>
          <w:rFonts w:hint="eastAsia" w:ascii="Times New Roman" w:hAnsi="Times New Roman" w:cs="Times New Roman"/>
        </w:rPr>
        <w:t xml:space="preserve"> Comparison of device densities in reported organic transistor active-matrix arrays.</w:t>
      </w:r>
    </w:p>
    <w:p w14:paraId="16C736CD">
      <w:pPr>
        <w:rPr>
          <w:rFonts w:ascii="Times New Roman" w:hAnsi="Times New Roman" w:cs="Times New Roman"/>
        </w:rPr>
      </w:pPr>
    </w:p>
    <w:p w14:paraId="2E98B8FD">
      <w:pPr>
        <w:rPr>
          <w:rFonts w:ascii="Times New Roman" w:hAnsi="Times New Roman" w:cs="Times New Roman"/>
        </w:rPr>
      </w:pPr>
    </w:p>
    <w:p w14:paraId="2221F3E0">
      <w:pPr>
        <w:rPr>
          <w:rFonts w:ascii="Times New Roman" w:hAnsi="Times New Roman" w:cs="Times New Roman"/>
        </w:rPr>
      </w:pPr>
    </w:p>
    <w:p w14:paraId="040EB144">
      <w:pPr>
        <w:tabs>
          <w:tab w:val="left" w:pos="690"/>
        </w:tabs>
        <w:rPr>
          <w:rFonts w:ascii="Times New Roman" w:hAnsi="Times New Roman" w:cs="Times New Roman"/>
        </w:rPr>
      </w:pPr>
      <w:r>
        <w:rPr>
          <w:rFonts w:ascii="Times New Roman" w:hAnsi="Times New Roman" w:cs="Times New Roman"/>
        </w:rPr>
        <w:tab/>
      </w:r>
    </w:p>
    <w:p w14:paraId="66B21397">
      <w:pPr>
        <w:widowControl/>
        <w:jc w:val="left"/>
        <w:rPr>
          <w:rFonts w:ascii="Times New Roman" w:hAnsi="Times New Roman" w:cs="Times New Roman"/>
        </w:rPr>
      </w:pPr>
      <w:r>
        <w:rPr>
          <w:rFonts w:ascii="Times New Roman" w:hAnsi="Times New Roman" w:cs="Times New Roman"/>
        </w:rPr>
        <w:br w:type="page"/>
      </w:r>
    </w:p>
    <w:p w14:paraId="131803B2">
      <w:pPr>
        <w:widowControl/>
        <w:rPr>
          <w:rFonts w:ascii="Times New Roman" w:hAnsi="Times New Roman" w:cs="Times New Roman"/>
          <w:b/>
          <w:bCs/>
          <w:sz w:val="28"/>
          <w:szCs w:val="28"/>
        </w:rPr>
      </w:pPr>
      <w:r>
        <w:rPr>
          <w:rFonts w:hint="eastAsia" w:ascii="Times New Roman" w:hAnsi="Times New Roman" w:cs="Times New Roman"/>
          <w:b/>
          <w:bCs/>
          <w:sz w:val="28"/>
          <w:szCs w:val="28"/>
        </w:rPr>
        <w:t>References</w:t>
      </w:r>
    </w:p>
    <w:p w14:paraId="65E0867A">
      <w:pPr>
        <w:pStyle w:val="39"/>
        <w:widowControl/>
        <w:numPr>
          <w:ilvl w:val="0"/>
          <w:numId w:val="1"/>
        </w:numPr>
        <w:spacing w:line="360" w:lineRule="auto"/>
        <w:ind w:left="442" w:hanging="442" w:firstLineChars="0"/>
      </w:pPr>
      <w:r>
        <w:t xml:space="preserve">J. A. Rogers, Z. Bao, K. Baldwin, A. Dodabalapur, B. Crone et al., </w:t>
      </w:r>
      <w:r>
        <w:rPr>
          <w:rFonts w:hint="eastAsia" w:eastAsiaTheme="minorEastAsia"/>
        </w:rPr>
        <w:t>Paper-l</w:t>
      </w:r>
      <w:r>
        <w:t xml:space="preserve">ike electronic displays: Large-area rubber-stamped plastic sheets of electronics and microencapsulated electrophoretic inks. </w:t>
      </w:r>
      <w:r>
        <w:rPr>
          <w:rFonts w:hint="eastAsia" w:eastAsiaTheme="minorEastAsia"/>
        </w:rPr>
        <w:t>Proc. Natl. Acad. Sci.</w:t>
      </w:r>
      <w:r>
        <w:t xml:space="preserve"> </w:t>
      </w:r>
      <w:r>
        <w:rPr>
          <w:b/>
          <w:bCs/>
        </w:rPr>
        <w:t>98</w:t>
      </w:r>
      <w:r>
        <w:t>(9), 4835-4840, (2001).</w:t>
      </w:r>
      <w:r>
        <w:rPr>
          <w:rFonts w:hint="eastAsia" w:eastAsiaTheme="minorEastAsia"/>
        </w:rPr>
        <w:t xml:space="preserve"> </w:t>
      </w:r>
      <w:r>
        <w:fldChar w:fldCharType="begin"/>
      </w:r>
      <w:r>
        <w:instrText xml:space="preserve"> HYPERLINK "https://doi.org/10.1073/pnas.091588098" </w:instrText>
      </w:r>
      <w:r>
        <w:fldChar w:fldCharType="separate"/>
      </w:r>
      <w:r>
        <w:rPr>
          <w:rStyle w:val="18"/>
          <w:rFonts w:eastAsiaTheme="minorEastAsia"/>
          <w:color w:val="auto"/>
          <w:u w:val="none"/>
        </w:rPr>
        <w:t>https://doi.org/10.1073/pnas.091588098</w:t>
      </w:r>
      <w:r>
        <w:rPr>
          <w:rStyle w:val="18"/>
          <w:rFonts w:eastAsiaTheme="minorEastAsia"/>
          <w:color w:val="auto"/>
          <w:u w:val="none"/>
        </w:rPr>
        <w:fldChar w:fldCharType="end"/>
      </w:r>
    </w:p>
    <w:p w14:paraId="05D24845">
      <w:pPr>
        <w:pStyle w:val="39"/>
        <w:widowControl/>
        <w:numPr>
          <w:ilvl w:val="0"/>
          <w:numId w:val="1"/>
        </w:numPr>
        <w:spacing w:line="360" w:lineRule="auto"/>
        <w:ind w:left="442" w:hanging="442" w:firstLineChars="0"/>
      </w:pPr>
      <w:r>
        <w:t>K. Fukuda, Y. Takeda, Y. Yoshimura, R. Shiwaku, L. T. Tran et al., Fully-printed high-performance organic thin-film transistors and circuitry on one-micron-thick polymer films. Nat</w:t>
      </w:r>
      <w:r>
        <w:rPr>
          <w:rFonts w:hint="eastAsia" w:ascii="宋体" w:hAnsi="宋体" w:eastAsia="宋体" w:cs="宋体"/>
        </w:rPr>
        <w:t>.</w:t>
      </w:r>
      <w:r>
        <w:t xml:space="preserve"> commun</w:t>
      </w:r>
      <w:r>
        <w:rPr>
          <w:rFonts w:hint="eastAsia" w:eastAsiaTheme="minorEastAsia"/>
        </w:rPr>
        <w:t>.</w:t>
      </w:r>
      <w:r>
        <w:t xml:space="preserve"> </w:t>
      </w:r>
      <w:r>
        <w:rPr>
          <w:b/>
          <w:bCs/>
        </w:rPr>
        <w:t>5</w:t>
      </w:r>
      <w:r>
        <w:t>, 4147, (2014).</w:t>
      </w:r>
      <w:r>
        <w:rPr>
          <w:rFonts w:hint="eastAsia" w:eastAsiaTheme="minorEastAsia"/>
        </w:rPr>
        <w:t xml:space="preserve"> </w:t>
      </w:r>
      <w:r>
        <w:fldChar w:fldCharType="begin"/>
      </w:r>
      <w:r>
        <w:instrText xml:space="preserve"> HYPERLINK "https://doi.org/10.1038/ncomms5147" </w:instrText>
      </w:r>
      <w:r>
        <w:fldChar w:fldCharType="separate"/>
      </w:r>
      <w:r>
        <w:rPr>
          <w:rStyle w:val="18"/>
          <w:rFonts w:eastAsiaTheme="minorEastAsia"/>
          <w:color w:val="auto"/>
          <w:u w:val="none"/>
        </w:rPr>
        <w:t>https://doi.org/10.1038/ncomms5147</w:t>
      </w:r>
      <w:r>
        <w:rPr>
          <w:rStyle w:val="18"/>
          <w:rFonts w:eastAsiaTheme="minorEastAsia"/>
          <w:color w:val="auto"/>
          <w:u w:val="none"/>
        </w:rPr>
        <w:fldChar w:fldCharType="end"/>
      </w:r>
    </w:p>
    <w:p w14:paraId="1EFAF6E0">
      <w:pPr>
        <w:pStyle w:val="39"/>
        <w:widowControl/>
        <w:numPr>
          <w:ilvl w:val="0"/>
          <w:numId w:val="1"/>
        </w:numPr>
        <w:spacing w:line="360" w:lineRule="auto"/>
        <w:ind w:left="442" w:hanging="442" w:firstLineChars="0"/>
      </w:pPr>
      <w:r>
        <w:t>K. Fukuda, Y. Takeda, M. Mizukami, D. Kumaki &amp; S. Tokito, Fully solution-processed flexible organic thin film transistor arrays with high mobility and exceptional uniformity. Sci</w:t>
      </w:r>
      <w:r>
        <w:rPr>
          <w:rFonts w:hint="eastAsia" w:eastAsiaTheme="minorEastAsia"/>
        </w:rPr>
        <w:t>.</w:t>
      </w:r>
      <w:r>
        <w:t xml:space="preserve"> </w:t>
      </w:r>
      <w:r>
        <w:rPr>
          <w:rFonts w:hint="eastAsia" w:eastAsiaTheme="minorEastAsia"/>
        </w:rPr>
        <w:t>R</w:t>
      </w:r>
      <w:r>
        <w:t>ep</w:t>
      </w:r>
      <w:r>
        <w:rPr>
          <w:rFonts w:hint="eastAsia" w:eastAsiaTheme="minorEastAsia"/>
        </w:rPr>
        <w:t>.</w:t>
      </w:r>
      <w:r>
        <w:t xml:space="preserve"> </w:t>
      </w:r>
      <w:r>
        <w:rPr>
          <w:b/>
          <w:bCs/>
        </w:rPr>
        <w:t>4</w:t>
      </w:r>
      <w:r>
        <w:t>, 3947, (2014).</w:t>
      </w:r>
      <w:r>
        <w:rPr>
          <w:rFonts w:hint="eastAsia" w:eastAsiaTheme="minorEastAsia"/>
        </w:rPr>
        <w:t xml:space="preserve"> </w:t>
      </w:r>
      <w:r>
        <w:fldChar w:fldCharType="begin"/>
      </w:r>
      <w:r>
        <w:instrText xml:space="preserve"> HYPERLINK "https://doi.org/10.1038/srep03947" </w:instrText>
      </w:r>
      <w:r>
        <w:fldChar w:fldCharType="separate"/>
      </w:r>
      <w:r>
        <w:rPr>
          <w:rStyle w:val="18"/>
          <w:rFonts w:eastAsiaTheme="minorEastAsia"/>
          <w:color w:val="auto"/>
          <w:u w:val="none"/>
        </w:rPr>
        <w:t>https://doi.org/10.1038/srep03947</w:t>
      </w:r>
      <w:r>
        <w:rPr>
          <w:rStyle w:val="18"/>
          <w:rFonts w:eastAsiaTheme="minorEastAsia"/>
          <w:color w:val="auto"/>
          <w:u w:val="none"/>
        </w:rPr>
        <w:fldChar w:fldCharType="end"/>
      </w:r>
    </w:p>
    <w:p w14:paraId="29A6F963">
      <w:pPr>
        <w:pStyle w:val="39"/>
        <w:widowControl/>
        <w:numPr>
          <w:ilvl w:val="0"/>
          <w:numId w:val="1"/>
        </w:numPr>
        <w:spacing w:line="360" w:lineRule="auto"/>
        <w:ind w:left="442" w:hanging="442" w:firstLineChars="0"/>
      </w:pPr>
      <w:r>
        <w:t>E. K. Lee, C. H. Park, J. Lee, H. R. Lee, C. Yang et al., Chemically robust ambipolar organic transistor array directly patterned by photolithography. Adv</w:t>
      </w:r>
      <w:r>
        <w:rPr>
          <w:rFonts w:hint="eastAsia" w:eastAsiaTheme="minorEastAsia"/>
        </w:rPr>
        <w:t>.</w:t>
      </w:r>
      <w:r>
        <w:t xml:space="preserve"> Mater</w:t>
      </w:r>
      <w:r>
        <w:rPr>
          <w:rFonts w:hint="eastAsia" w:eastAsiaTheme="minorEastAsia"/>
        </w:rPr>
        <w:t>.</w:t>
      </w:r>
      <w:r>
        <w:t xml:space="preserve"> </w:t>
      </w:r>
      <w:r>
        <w:rPr>
          <w:b/>
        </w:rPr>
        <w:t>29</w:t>
      </w:r>
      <w:r>
        <w:t>(11), 1605282, (2017).</w:t>
      </w:r>
      <w:r>
        <w:rPr>
          <w:rFonts w:hint="eastAsia" w:eastAsiaTheme="minorEastAsia"/>
        </w:rPr>
        <w:t xml:space="preserve"> </w:t>
      </w:r>
      <w:r>
        <w:rPr>
          <w:rFonts w:eastAsiaTheme="minorEastAsia"/>
        </w:rPr>
        <w:t>https://doi.org/10.1002/adma.201605282</w:t>
      </w:r>
    </w:p>
    <w:p w14:paraId="64FE6388">
      <w:pPr>
        <w:pStyle w:val="39"/>
        <w:widowControl/>
        <w:numPr>
          <w:ilvl w:val="0"/>
          <w:numId w:val="1"/>
        </w:numPr>
        <w:spacing w:line="360" w:lineRule="auto"/>
        <w:ind w:left="442" w:hanging="442" w:firstLineChars="0"/>
      </w:pPr>
      <w:r>
        <w:t>S. Wang, J. Xu, W. Wang, G.-J. N. Wang, R. Rastak et al., Skin electronics from scalable fabrication of an intrinsically stretchable transistor array. Nature</w:t>
      </w:r>
      <w:r>
        <w:rPr>
          <w:rFonts w:hint="eastAsia" w:eastAsiaTheme="minorEastAsia"/>
        </w:rPr>
        <w:t>.</w:t>
      </w:r>
      <w:r>
        <w:t xml:space="preserve"> </w:t>
      </w:r>
      <w:r>
        <w:rPr>
          <w:b/>
        </w:rPr>
        <w:t>555</w:t>
      </w:r>
      <w:r>
        <w:t>(7694), 83-88, (2018).</w:t>
      </w:r>
      <w:r>
        <w:rPr>
          <w:rFonts w:hint="eastAsia" w:eastAsiaTheme="minorEastAsia"/>
        </w:rPr>
        <w:t xml:space="preserve"> </w:t>
      </w:r>
      <w:r>
        <w:rPr>
          <w:rFonts w:eastAsiaTheme="minorEastAsia"/>
        </w:rPr>
        <w:t>https://doi.org/10.1038/nature25494</w:t>
      </w:r>
    </w:p>
    <w:p w14:paraId="580B199A">
      <w:pPr>
        <w:pStyle w:val="39"/>
        <w:widowControl/>
        <w:numPr>
          <w:ilvl w:val="0"/>
          <w:numId w:val="1"/>
        </w:numPr>
        <w:spacing w:line="360" w:lineRule="auto"/>
        <w:ind w:left="442" w:hanging="442" w:firstLineChars="0"/>
      </w:pPr>
      <w:r>
        <w:t>H. Ren, J. Zhang, Y. Tong, J. Zhang, X. Zhao et al., Synchronously improved stretchability and mobility by tuning the molecular weight for intrinsically stretchable transistors. J Mater Chem C</w:t>
      </w:r>
      <w:r>
        <w:rPr>
          <w:rFonts w:hint="eastAsia" w:eastAsiaTheme="minorEastAsia"/>
        </w:rPr>
        <w:t>.</w:t>
      </w:r>
      <w:r>
        <w:t xml:space="preserve"> </w:t>
      </w:r>
      <w:r>
        <w:rPr>
          <w:b/>
          <w:bCs/>
        </w:rPr>
        <w:t>8</w:t>
      </w:r>
      <w:r>
        <w:t>(44), 15646-15654, (2020).</w:t>
      </w:r>
      <w:r>
        <w:rPr>
          <w:rFonts w:eastAsiaTheme="minorEastAsia"/>
        </w:rPr>
        <w:t xml:space="preserve"> https://doi.org/10.1039/D0TC02363A</w:t>
      </w:r>
    </w:p>
    <w:p w14:paraId="13ED1087">
      <w:pPr>
        <w:pStyle w:val="39"/>
        <w:widowControl/>
        <w:numPr>
          <w:ilvl w:val="0"/>
          <w:numId w:val="1"/>
        </w:numPr>
        <w:spacing w:line="360" w:lineRule="auto"/>
        <w:ind w:left="442" w:hanging="442" w:firstLineChars="0"/>
      </w:pPr>
      <w:r>
        <w:t>X. Zhao, S. Wang, Y. Ni, Y. Tong, Q. Tang et al., High‐performance full‐photolithographic top‐contact conformable organic transistors for soft electronics. Adv. Sci</w:t>
      </w:r>
      <w:r>
        <w:rPr>
          <w:rFonts w:hint="eastAsia" w:eastAsiaTheme="minorEastAsia"/>
        </w:rPr>
        <w:t>.</w:t>
      </w:r>
      <w:r>
        <w:t xml:space="preserve"> </w:t>
      </w:r>
      <w:r>
        <w:rPr>
          <w:b/>
        </w:rPr>
        <w:t>8</w:t>
      </w:r>
      <w:r>
        <w:t>(9), 2004050, (2021).</w:t>
      </w:r>
      <w:r>
        <w:rPr>
          <w:rFonts w:hint="eastAsia" w:eastAsiaTheme="minorEastAsia"/>
        </w:rPr>
        <w:t xml:space="preserve"> </w:t>
      </w:r>
      <w:r>
        <w:rPr>
          <w:rFonts w:eastAsiaTheme="minorEastAsia"/>
        </w:rPr>
        <w:t>https://doi.org/10.1002/advs.202004050</w:t>
      </w:r>
    </w:p>
    <w:p w14:paraId="78D617A0">
      <w:pPr>
        <w:pStyle w:val="39"/>
        <w:widowControl/>
        <w:spacing w:line="360" w:lineRule="auto"/>
        <w:ind w:left="442" w:firstLine="0" w:firstLineChars="0"/>
      </w:pPr>
    </w:p>
    <w:p w14:paraId="0C6B8936">
      <w:pPr>
        <w:tabs>
          <w:tab w:val="left" w:pos="690"/>
        </w:tabs>
        <w:rPr>
          <w:rFonts w:ascii="Times New Roman" w:hAnsi="Times New Roman" w:cs="Times New Roman"/>
        </w:rPr>
      </w:pPr>
    </w:p>
    <w:p w14:paraId="707AF77B">
      <w:pPr>
        <w:rPr>
          <w:rFonts w:ascii="Times New Roman" w:hAnsi="Times New Roman" w:cs="Times New Roman"/>
        </w:rPr>
      </w:pPr>
    </w:p>
    <w:p w14:paraId="199880B3">
      <w:pPr>
        <w:rPr>
          <w:rFonts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MS Mincho">
    <w:altName w:val="Yu Gothic UI"/>
    <w:panose1 w:val="02020609040205080304"/>
    <w:charset w:val="80"/>
    <w:family w:val="modern"/>
    <w:pitch w:val="default"/>
    <w:sig w:usb0="00000000" w:usb1="00000000" w:usb2="08000012" w:usb3="00000000" w:csb0="0002009F" w:csb1="00000000"/>
  </w:font>
  <w:font w:name="ＭＳ 明朝">
    <w:altName w:val="AMGD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8377D6"/>
    <w:multiLevelType w:val="multilevel"/>
    <w:tmpl w:val="798377D6"/>
    <w:lvl w:ilvl="0" w:tentative="0">
      <w:start w:val="1"/>
      <w:numFmt w:val="decimal"/>
      <w:lvlText w:val="[%1]"/>
      <w:lvlJc w:val="left"/>
      <w:pPr>
        <w:ind w:left="3701" w:hanging="440"/>
      </w:pPr>
      <w:rPr>
        <w:rFonts w:hint="eastAsia"/>
        <w:b w:val="0"/>
        <w:bCs/>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268"/>
    <w:rsid w:val="00005970"/>
    <w:rsid w:val="00021C4D"/>
    <w:rsid w:val="00030624"/>
    <w:rsid w:val="00037202"/>
    <w:rsid w:val="00057061"/>
    <w:rsid w:val="00061216"/>
    <w:rsid w:val="00074CCD"/>
    <w:rsid w:val="00076387"/>
    <w:rsid w:val="00083E39"/>
    <w:rsid w:val="000A52F3"/>
    <w:rsid w:val="000D0C95"/>
    <w:rsid w:val="000D4D28"/>
    <w:rsid w:val="000E6D6F"/>
    <w:rsid w:val="000F580D"/>
    <w:rsid w:val="000F7378"/>
    <w:rsid w:val="001106BD"/>
    <w:rsid w:val="001155DD"/>
    <w:rsid w:val="001353A2"/>
    <w:rsid w:val="001531CB"/>
    <w:rsid w:val="00162385"/>
    <w:rsid w:val="00173902"/>
    <w:rsid w:val="001921FF"/>
    <w:rsid w:val="001927D3"/>
    <w:rsid w:val="001B1C24"/>
    <w:rsid w:val="001D4491"/>
    <w:rsid w:val="001E07EA"/>
    <w:rsid w:val="001E0FAB"/>
    <w:rsid w:val="001E65B9"/>
    <w:rsid w:val="001F69C5"/>
    <w:rsid w:val="00207FF4"/>
    <w:rsid w:val="002119DA"/>
    <w:rsid w:val="00214D62"/>
    <w:rsid w:val="0023279E"/>
    <w:rsid w:val="00232D65"/>
    <w:rsid w:val="002424F2"/>
    <w:rsid w:val="0025303D"/>
    <w:rsid w:val="00261896"/>
    <w:rsid w:val="00274A5A"/>
    <w:rsid w:val="0027520E"/>
    <w:rsid w:val="00280FE4"/>
    <w:rsid w:val="002A4521"/>
    <w:rsid w:val="002D1997"/>
    <w:rsid w:val="002F0E45"/>
    <w:rsid w:val="00313435"/>
    <w:rsid w:val="00320D83"/>
    <w:rsid w:val="00321292"/>
    <w:rsid w:val="0032456F"/>
    <w:rsid w:val="003408A2"/>
    <w:rsid w:val="00343BA5"/>
    <w:rsid w:val="003651F7"/>
    <w:rsid w:val="00365493"/>
    <w:rsid w:val="00375FC3"/>
    <w:rsid w:val="00380709"/>
    <w:rsid w:val="0038350F"/>
    <w:rsid w:val="00395779"/>
    <w:rsid w:val="003A6ABD"/>
    <w:rsid w:val="003A7DB9"/>
    <w:rsid w:val="003B2193"/>
    <w:rsid w:val="003C4A10"/>
    <w:rsid w:val="003D451B"/>
    <w:rsid w:val="003F191F"/>
    <w:rsid w:val="00407ADF"/>
    <w:rsid w:val="00412777"/>
    <w:rsid w:val="00440653"/>
    <w:rsid w:val="00443CD2"/>
    <w:rsid w:val="004517A2"/>
    <w:rsid w:val="00481C13"/>
    <w:rsid w:val="004859F9"/>
    <w:rsid w:val="00487F67"/>
    <w:rsid w:val="00496325"/>
    <w:rsid w:val="004A5407"/>
    <w:rsid w:val="004A548E"/>
    <w:rsid w:val="004B13E5"/>
    <w:rsid w:val="004C4033"/>
    <w:rsid w:val="0051544D"/>
    <w:rsid w:val="005226C0"/>
    <w:rsid w:val="0052511D"/>
    <w:rsid w:val="00526E9B"/>
    <w:rsid w:val="00546998"/>
    <w:rsid w:val="00555671"/>
    <w:rsid w:val="005B6845"/>
    <w:rsid w:val="005B712E"/>
    <w:rsid w:val="005C01AE"/>
    <w:rsid w:val="005C3357"/>
    <w:rsid w:val="005D30B3"/>
    <w:rsid w:val="005D3FEB"/>
    <w:rsid w:val="005E1D00"/>
    <w:rsid w:val="005E2E6B"/>
    <w:rsid w:val="005F324F"/>
    <w:rsid w:val="00607674"/>
    <w:rsid w:val="006506B4"/>
    <w:rsid w:val="00652189"/>
    <w:rsid w:val="006662EE"/>
    <w:rsid w:val="00683C13"/>
    <w:rsid w:val="00691BC0"/>
    <w:rsid w:val="006A5DA6"/>
    <w:rsid w:val="006B55EC"/>
    <w:rsid w:val="006D30E2"/>
    <w:rsid w:val="006D63BD"/>
    <w:rsid w:val="006E2E44"/>
    <w:rsid w:val="006E3752"/>
    <w:rsid w:val="00701978"/>
    <w:rsid w:val="00702D2E"/>
    <w:rsid w:val="007119C2"/>
    <w:rsid w:val="00772141"/>
    <w:rsid w:val="0079782C"/>
    <w:rsid w:val="007A26C3"/>
    <w:rsid w:val="007B331E"/>
    <w:rsid w:val="007B34BC"/>
    <w:rsid w:val="007E3405"/>
    <w:rsid w:val="007E609C"/>
    <w:rsid w:val="008135D1"/>
    <w:rsid w:val="008166FF"/>
    <w:rsid w:val="00826B2C"/>
    <w:rsid w:val="008313BB"/>
    <w:rsid w:val="00850265"/>
    <w:rsid w:val="00852CB9"/>
    <w:rsid w:val="0086536F"/>
    <w:rsid w:val="00874565"/>
    <w:rsid w:val="0088207C"/>
    <w:rsid w:val="008B25C0"/>
    <w:rsid w:val="008C17D6"/>
    <w:rsid w:val="008F1F24"/>
    <w:rsid w:val="008F3428"/>
    <w:rsid w:val="008F5866"/>
    <w:rsid w:val="009023AC"/>
    <w:rsid w:val="009121A4"/>
    <w:rsid w:val="00914DEF"/>
    <w:rsid w:val="009213E7"/>
    <w:rsid w:val="00950158"/>
    <w:rsid w:val="009578F2"/>
    <w:rsid w:val="0096594E"/>
    <w:rsid w:val="009A292D"/>
    <w:rsid w:val="009A77B3"/>
    <w:rsid w:val="009B7A86"/>
    <w:rsid w:val="009C75FC"/>
    <w:rsid w:val="009F51BF"/>
    <w:rsid w:val="00A00009"/>
    <w:rsid w:val="00A0631D"/>
    <w:rsid w:val="00A24C72"/>
    <w:rsid w:val="00A346DF"/>
    <w:rsid w:val="00A46322"/>
    <w:rsid w:val="00A649D0"/>
    <w:rsid w:val="00A64DE3"/>
    <w:rsid w:val="00A71D93"/>
    <w:rsid w:val="00AD61AC"/>
    <w:rsid w:val="00B3723F"/>
    <w:rsid w:val="00B7245E"/>
    <w:rsid w:val="00B86877"/>
    <w:rsid w:val="00BA4FC8"/>
    <w:rsid w:val="00BC03B8"/>
    <w:rsid w:val="00BE1C86"/>
    <w:rsid w:val="00BE2216"/>
    <w:rsid w:val="00BF2003"/>
    <w:rsid w:val="00C03087"/>
    <w:rsid w:val="00C22CF5"/>
    <w:rsid w:val="00C31CB3"/>
    <w:rsid w:val="00C429AF"/>
    <w:rsid w:val="00C461C5"/>
    <w:rsid w:val="00C5167E"/>
    <w:rsid w:val="00C70C69"/>
    <w:rsid w:val="00C7344E"/>
    <w:rsid w:val="00C77444"/>
    <w:rsid w:val="00C913D7"/>
    <w:rsid w:val="00CA021B"/>
    <w:rsid w:val="00CA5747"/>
    <w:rsid w:val="00CB6E22"/>
    <w:rsid w:val="00CF6B5A"/>
    <w:rsid w:val="00CF6DE3"/>
    <w:rsid w:val="00D15BD7"/>
    <w:rsid w:val="00D30486"/>
    <w:rsid w:val="00D473D9"/>
    <w:rsid w:val="00D633F3"/>
    <w:rsid w:val="00D75936"/>
    <w:rsid w:val="00D7637D"/>
    <w:rsid w:val="00D81EBF"/>
    <w:rsid w:val="00D8603C"/>
    <w:rsid w:val="00DA054D"/>
    <w:rsid w:val="00DC49C8"/>
    <w:rsid w:val="00DC63A5"/>
    <w:rsid w:val="00DD2EF5"/>
    <w:rsid w:val="00DF0D6A"/>
    <w:rsid w:val="00E06070"/>
    <w:rsid w:val="00E40D9F"/>
    <w:rsid w:val="00E44D8C"/>
    <w:rsid w:val="00E75508"/>
    <w:rsid w:val="00E970B4"/>
    <w:rsid w:val="00EB3B7E"/>
    <w:rsid w:val="00ED1322"/>
    <w:rsid w:val="00ED33E3"/>
    <w:rsid w:val="00ED73EA"/>
    <w:rsid w:val="00EE7C1D"/>
    <w:rsid w:val="00EF662B"/>
    <w:rsid w:val="00F01BA5"/>
    <w:rsid w:val="00F22BC9"/>
    <w:rsid w:val="00F40D15"/>
    <w:rsid w:val="00F56A60"/>
    <w:rsid w:val="00F637E8"/>
    <w:rsid w:val="00F66B65"/>
    <w:rsid w:val="00F8114F"/>
    <w:rsid w:val="00F824DB"/>
    <w:rsid w:val="00F867AA"/>
    <w:rsid w:val="00FA131F"/>
    <w:rsid w:val="00FA335A"/>
    <w:rsid w:val="00FB35A4"/>
    <w:rsid w:val="00FE5268"/>
    <w:rsid w:val="0D6F79EF"/>
    <w:rsid w:val="4A89284D"/>
    <w:rsid w:val="4E2A12E2"/>
    <w:rsid w:val="762B6E1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4"/>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8"/>
    <w:unhideWhenUsed/>
    <w:qFormat/>
    <w:uiPriority w:val="99"/>
    <w:pPr>
      <w:tabs>
        <w:tab w:val="center" w:pos="4153"/>
        <w:tab w:val="right" w:pos="8306"/>
      </w:tabs>
      <w:snapToGrid w:val="0"/>
      <w:jc w:val="left"/>
    </w:pPr>
    <w:rPr>
      <w:sz w:val="18"/>
      <w:szCs w:val="18"/>
    </w:rPr>
  </w:style>
  <w:style w:type="paragraph" w:styleId="12">
    <w:name w:val="header"/>
    <w:basedOn w:val="1"/>
    <w:link w:val="37"/>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7"/>
    <w:qFormat/>
    <w:uiPriority w:val="0"/>
    <w:rPr>
      <w:color w:val="0000FF"/>
      <w:u w:val="single"/>
    </w:rPr>
  </w:style>
  <w:style w:type="character" w:customStyle="1" w:styleId="19">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7"/>
    <w:link w:val="5"/>
    <w:semiHidden/>
    <w:qFormat/>
    <w:uiPriority w:val="9"/>
    <w:rPr>
      <w:rFonts w:cstheme="majorBidi"/>
      <w:color w:val="104862" w:themeColor="accent1" w:themeShade="BF"/>
      <w:sz w:val="28"/>
      <w:szCs w:val="28"/>
    </w:rPr>
  </w:style>
  <w:style w:type="character" w:customStyle="1" w:styleId="23">
    <w:name w:val="标题 5 字符"/>
    <w:basedOn w:val="17"/>
    <w:link w:val="6"/>
    <w:semiHidden/>
    <w:qFormat/>
    <w:uiPriority w:val="9"/>
    <w:rPr>
      <w:rFonts w:cstheme="majorBidi"/>
      <w:color w:val="104862" w:themeColor="accent1" w:themeShade="BF"/>
      <w:sz w:val="24"/>
      <w:szCs w:val="24"/>
    </w:rPr>
  </w:style>
  <w:style w:type="character" w:customStyle="1" w:styleId="24">
    <w:name w:val="标题 6 字符"/>
    <w:basedOn w:val="17"/>
    <w:link w:val="7"/>
    <w:semiHidden/>
    <w:qFormat/>
    <w:uiPriority w:val="9"/>
    <w:rPr>
      <w:rFonts w:cstheme="majorBidi"/>
      <w:b/>
      <w:bCs/>
      <w:color w:val="104862" w:themeColor="accent1" w:themeShade="BF"/>
    </w:rPr>
  </w:style>
  <w:style w:type="character" w:customStyle="1" w:styleId="25">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明显强调1"/>
    <w:basedOn w:val="17"/>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7"/>
    <w:link w:val="34"/>
    <w:qFormat/>
    <w:uiPriority w:val="30"/>
    <w:rPr>
      <w:i/>
      <w:iCs/>
      <w:color w:val="104862" w:themeColor="accent1" w:themeShade="BF"/>
    </w:rPr>
  </w:style>
  <w:style w:type="character" w:customStyle="1" w:styleId="36">
    <w:name w:val="明显参考1"/>
    <w:basedOn w:val="17"/>
    <w:qFormat/>
    <w:uiPriority w:val="32"/>
    <w:rPr>
      <w:b/>
      <w:bCs/>
      <w:smallCaps/>
      <w:color w:val="104862" w:themeColor="accent1" w:themeShade="BF"/>
      <w:spacing w:val="5"/>
    </w:rPr>
  </w:style>
  <w:style w:type="character" w:customStyle="1" w:styleId="37">
    <w:name w:val="页眉 字符"/>
    <w:basedOn w:val="17"/>
    <w:link w:val="12"/>
    <w:qFormat/>
    <w:uiPriority w:val="99"/>
    <w:rPr>
      <w:kern w:val="2"/>
      <w:sz w:val="18"/>
      <w:szCs w:val="18"/>
    </w:rPr>
  </w:style>
  <w:style w:type="character" w:customStyle="1" w:styleId="38">
    <w:name w:val="页脚 字符"/>
    <w:basedOn w:val="17"/>
    <w:link w:val="11"/>
    <w:qFormat/>
    <w:uiPriority w:val="99"/>
    <w:rPr>
      <w:kern w:val="2"/>
      <w:sz w:val="18"/>
      <w:szCs w:val="18"/>
    </w:rPr>
  </w:style>
  <w:style w:type="paragraph" w:customStyle="1" w:styleId="39">
    <w:name w:val="EndNote Bibliography"/>
    <w:basedOn w:val="1"/>
    <w:link w:val="40"/>
    <w:qFormat/>
    <w:uiPriority w:val="0"/>
    <w:pPr>
      <w:ind w:firstLine="200" w:firstLineChars="200"/>
    </w:pPr>
    <w:rPr>
      <w:rFonts w:ascii="Times New Roman" w:hAnsi="Times New Roman" w:eastAsia="Times New Roman" w:cs="Times New Roman"/>
      <w:sz w:val="24"/>
      <w:szCs w:val="24"/>
    </w:rPr>
  </w:style>
  <w:style w:type="character" w:customStyle="1" w:styleId="40">
    <w:name w:val="EndNote Bibliography 字符"/>
    <w:basedOn w:val="17"/>
    <w:link w:val="39"/>
    <w:qFormat/>
    <w:uiPriority w:val="0"/>
    <w:rPr>
      <w:rFonts w:ascii="Times New Roman" w:hAnsi="Times New Roman" w:eastAsia="Times New Roman" w:cs="Times New Roman"/>
      <w:kern w:val="2"/>
      <w:sz w:val="24"/>
      <w:szCs w:val="24"/>
    </w:rPr>
  </w:style>
  <w:style w:type="paragraph" w:customStyle="1" w:styleId="41">
    <w:name w:val="Authors Full"/>
    <w:basedOn w:val="1"/>
    <w:qFormat/>
    <w:uiPriority w:val="0"/>
    <w:pPr>
      <w:widowControl/>
      <w:jc w:val="left"/>
    </w:pPr>
    <w:rPr>
      <w:rFonts w:ascii="Times New Roman" w:hAnsi="Times New Roman" w:eastAsia="MS Mincho" w:cs="Times New Roman"/>
      <w:i/>
      <w:kern w:val="0"/>
      <w:sz w:val="24"/>
      <w:szCs w:val="24"/>
      <w:lang w:eastAsia="ja-JP"/>
    </w:rPr>
  </w:style>
  <w:style w:type="character" w:customStyle="1" w:styleId="42">
    <w:name w:val="Unresolved Mention"/>
    <w:basedOn w:val="1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781</Words>
  <Characters>5057</Characters>
  <Lines>375</Lines>
  <Paragraphs>173</Paragraphs>
  <TotalTime>464</TotalTime>
  <ScaleCrop>false</ScaleCrop>
  <LinksUpToDate>false</LinksUpToDate>
  <CharactersWithSpaces>5793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2025-07-09T12:02:00Z</dcterms:created>
  <dc:creator>8618844733085</dc:creator>
  <cp:lastModifiedBy>丑八怪</cp:lastModifiedBy>
  <cp:lastPrinted>2026-01-09T18:01:00Z</cp:lastPrinted>
  <dcterms:modified xsi:type="dcterms:W3CDTF">2026-02-10T08:29:12Z</dcterms:modified>
  <cp:revision>144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eyJoZGlkIjoiN2YzNjBkOTgyNWQ1YTMxYzM3MzMwNWFiODNmOWIzYWMiLCJ1c2VySWQiOiIyMjg1MjEzODMifQ==</vt:lpwstr>
  </property>
  <property fmtid="{D5CDD505-2E9C-101B-9397-08002B2CF9AE}" pid="3" name="KSOProductBuildVer">
    <vt:lpwstr>2052-12.1.0.25225</vt:lpwstr>
  </property>
  <property fmtid="{D5CDD505-2E9C-101B-9397-08002B2CF9AE}" pid="4" name="ICV">
    <vt:lpwstr>5811087CC3E94E3BBC7228E66464222E_12</vt:lpwstr>
  </property>
</Properties>
</file>