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CC101" w14:textId="77777777" w:rsidR="00DF4A8C" w:rsidRPr="00DF4A8C" w:rsidRDefault="002A5E82" w:rsidP="00581B55">
      <w:pPr>
        <w:spacing w:beforeLines="50" w:before="156" w:afterLines="50" w:after="156"/>
        <w:rPr>
          <w:sz w:val="28"/>
          <w:szCs w:val="28"/>
          <w:lang w:bidi="ar"/>
        </w:rPr>
      </w:pPr>
      <w:bookmarkStart w:id="0" w:name="_Hlk162862719"/>
      <w:r w:rsidRPr="00460FC2">
        <w:rPr>
          <w:sz w:val="28"/>
          <w:szCs w:val="28"/>
          <w:lang w:bidi="ar"/>
        </w:rPr>
        <w:t>Supporting Information for</w:t>
      </w:r>
    </w:p>
    <w:bookmarkEnd w:id="0"/>
    <w:p w14:paraId="441FBAC1" w14:textId="77777777" w:rsidR="00581B55" w:rsidRPr="00581B55" w:rsidRDefault="00581B55" w:rsidP="00581B55">
      <w:pPr>
        <w:widowControl/>
        <w:spacing w:beforeLines="50" w:before="156" w:afterLines="50" w:after="156"/>
        <w:jc w:val="left"/>
        <w:rPr>
          <w:rFonts w:eastAsia="宋体"/>
          <w:b/>
          <w:bCs/>
          <w:kern w:val="0"/>
          <w:sz w:val="28"/>
          <w:szCs w:val="28"/>
          <w:lang w:eastAsia="en-US"/>
        </w:rPr>
      </w:pPr>
      <w:r w:rsidRPr="00581B55">
        <w:rPr>
          <w:rFonts w:eastAsia="宋体" w:hint="eastAsia"/>
          <w:b/>
          <w:bCs/>
          <w:kern w:val="0"/>
          <w:sz w:val="28"/>
          <w:szCs w:val="28"/>
          <w:lang w:eastAsia="en-US"/>
        </w:rPr>
        <w:t>Bioinspired Auxetic Metastructures Enable Biomechanically Adaptive, Machine Learning-Enhanced Self-Powered Sensing with Ultrahigh Efficiency</w:t>
      </w:r>
    </w:p>
    <w:p w14:paraId="104C5FD3" w14:textId="77777777" w:rsidR="00581B55" w:rsidRPr="00581B55" w:rsidRDefault="00581B55" w:rsidP="00581B55">
      <w:pPr>
        <w:widowControl/>
        <w:spacing w:beforeLines="50" w:before="156" w:afterLines="50" w:after="156"/>
        <w:jc w:val="left"/>
        <w:rPr>
          <w:rFonts w:eastAsia="MS Mincho"/>
          <w:kern w:val="0"/>
          <w:lang w:eastAsia="ja-JP"/>
        </w:rPr>
      </w:pPr>
      <w:r w:rsidRPr="00581B55">
        <w:rPr>
          <w:rFonts w:eastAsia="MS Mincho"/>
          <w:kern w:val="0"/>
          <w:lang w:eastAsia="ja-JP"/>
        </w:rPr>
        <w:t>Wei Wang</w:t>
      </w:r>
      <w:r w:rsidRPr="00581B55">
        <w:rPr>
          <w:rFonts w:eastAsia="MS Mincho"/>
          <w:kern w:val="0"/>
          <w:vertAlign w:val="superscript"/>
          <w:lang w:eastAsia="ja-JP"/>
        </w:rPr>
        <w:t xml:space="preserve"> </w:t>
      </w:r>
      <w:r w:rsidRPr="00581B55">
        <w:rPr>
          <w:rFonts w:eastAsia="等线" w:hint="eastAsia"/>
          <w:kern w:val="0"/>
          <w:vertAlign w:val="superscript"/>
        </w:rPr>
        <w:t>1</w:t>
      </w:r>
      <w:r w:rsidRPr="00581B55">
        <w:rPr>
          <w:rFonts w:eastAsia="MS Mincho"/>
          <w:kern w:val="0"/>
          <w:lang w:eastAsia="ja-JP"/>
        </w:rPr>
        <w:t xml:space="preserve">, Xuechuan Wang </w:t>
      </w:r>
      <w:r w:rsidRPr="00581B55">
        <w:rPr>
          <w:rFonts w:eastAsia="等线" w:hint="eastAsia"/>
          <w:kern w:val="0"/>
          <w:vertAlign w:val="superscript"/>
        </w:rPr>
        <w:t>1</w:t>
      </w:r>
      <w:r w:rsidRPr="00581B55">
        <w:rPr>
          <w:rFonts w:eastAsia="MS Mincho"/>
          <w:kern w:val="0"/>
          <w:vertAlign w:val="superscript"/>
          <w:lang w:eastAsia="ja-JP"/>
        </w:rPr>
        <w:t xml:space="preserve">, </w:t>
      </w:r>
      <w:r w:rsidRPr="00581B55">
        <w:rPr>
          <w:rFonts w:eastAsia="MS Mincho"/>
          <w:kern w:val="0"/>
          <w:lang w:eastAsia="ja-JP"/>
        </w:rPr>
        <w:t xml:space="preserve">*, Linbin Li </w:t>
      </w:r>
      <w:r w:rsidRPr="00581B55">
        <w:rPr>
          <w:rFonts w:eastAsia="等线" w:hint="eastAsia"/>
          <w:kern w:val="0"/>
          <w:vertAlign w:val="superscript"/>
        </w:rPr>
        <w:t>2</w:t>
      </w:r>
      <w:r w:rsidRPr="00581B55">
        <w:rPr>
          <w:rFonts w:eastAsia="MS Mincho"/>
          <w:kern w:val="0"/>
          <w:lang w:eastAsia="ja-JP"/>
        </w:rPr>
        <w:t xml:space="preserve">, Yi Zhou </w:t>
      </w:r>
      <w:r w:rsidRPr="00581B55">
        <w:rPr>
          <w:rFonts w:eastAsia="等线" w:hint="eastAsia"/>
          <w:kern w:val="0"/>
          <w:vertAlign w:val="superscript"/>
        </w:rPr>
        <w:t>2</w:t>
      </w:r>
      <w:r w:rsidRPr="00581B55">
        <w:rPr>
          <w:rFonts w:eastAsia="MS Mincho"/>
          <w:kern w:val="0"/>
          <w:lang w:eastAsia="ja-JP"/>
        </w:rPr>
        <w:t>, Wenlong Zhang</w:t>
      </w:r>
      <w:r w:rsidRPr="00581B55">
        <w:rPr>
          <w:rFonts w:eastAsia="MS Mincho"/>
          <w:kern w:val="0"/>
          <w:vertAlign w:val="superscript"/>
          <w:lang w:eastAsia="ja-JP"/>
        </w:rPr>
        <w:t xml:space="preserve"> </w:t>
      </w:r>
      <w:r w:rsidRPr="00581B55">
        <w:rPr>
          <w:rFonts w:eastAsia="等线" w:hint="eastAsia"/>
          <w:kern w:val="0"/>
          <w:vertAlign w:val="superscript"/>
        </w:rPr>
        <w:t>1</w:t>
      </w:r>
      <w:r w:rsidRPr="00581B55">
        <w:rPr>
          <w:rFonts w:eastAsia="MS Mincho"/>
          <w:kern w:val="0"/>
          <w:lang w:eastAsia="ja-JP"/>
        </w:rPr>
        <w:t>, Long Xing</w:t>
      </w:r>
      <w:r w:rsidRPr="00581B55">
        <w:rPr>
          <w:rFonts w:eastAsia="MS Mincho"/>
          <w:kern w:val="0"/>
          <w:vertAlign w:val="superscript"/>
          <w:lang w:eastAsia="ja-JP"/>
        </w:rPr>
        <w:t xml:space="preserve"> </w:t>
      </w:r>
      <w:r w:rsidRPr="00581B55">
        <w:rPr>
          <w:rFonts w:eastAsia="等线" w:hint="eastAsia"/>
          <w:kern w:val="0"/>
          <w:vertAlign w:val="superscript"/>
        </w:rPr>
        <w:t>1</w:t>
      </w:r>
      <w:r w:rsidRPr="00581B55">
        <w:rPr>
          <w:rFonts w:eastAsia="MS Mincho"/>
          <w:kern w:val="0"/>
          <w:lang w:eastAsia="ja-JP"/>
        </w:rPr>
        <w:t>,</w:t>
      </w:r>
      <w:r w:rsidRPr="00581B55">
        <w:rPr>
          <w:rFonts w:eastAsia="等线" w:hint="eastAsia"/>
          <w:kern w:val="0"/>
        </w:rPr>
        <w:t xml:space="preserve"> </w:t>
      </w:r>
      <w:r w:rsidRPr="00581B55">
        <w:rPr>
          <w:rFonts w:eastAsia="MS Mincho"/>
          <w:kern w:val="0"/>
          <w:lang w:eastAsia="ja-JP"/>
        </w:rPr>
        <w:t>Long Xie</w:t>
      </w:r>
      <w:r w:rsidRPr="00581B55">
        <w:rPr>
          <w:rFonts w:eastAsia="MS Mincho"/>
          <w:kern w:val="0"/>
          <w:vertAlign w:val="superscript"/>
          <w:lang w:eastAsia="ja-JP"/>
        </w:rPr>
        <w:t xml:space="preserve"> </w:t>
      </w:r>
      <w:r w:rsidRPr="00581B55">
        <w:rPr>
          <w:rFonts w:eastAsia="等线" w:hint="eastAsia"/>
          <w:kern w:val="0"/>
          <w:vertAlign w:val="superscript"/>
        </w:rPr>
        <w:t>2</w:t>
      </w:r>
      <w:r w:rsidRPr="00581B55">
        <w:rPr>
          <w:rFonts w:eastAsia="MS Mincho"/>
          <w:kern w:val="0"/>
          <w:lang w:eastAsia="ja-JP"/>
        </w:rPr>
        <w:t xml:space="preserve">, </w:t>
      </w:r>
      <w:r w:rsidRPr="00581B55">
        <w:rPr>
          <w:rFonts w:eastAsia="MS Mincho" w:hint="eastAsia"/>
          <w:kern w:val="0"/>
          <w:lang w:eastAsia="ja-JP"/>
        </w:rPr>
        <w:t>Yitong Wang</w:t>
      </w:r>
      <w:r w:rsidRPr="00581B55">
        <w:rPr>
          <w:rFonts w:eastAsia="MS Mincho"/>
          <w:kern w:val="0"/>
          <w:vertAlign w:val="superscript"/>
          <w:lang w:eastAsia="ja-JP"/>
        </w:rPr>
        <w:t xml:space="preserve"> </w:t>
      </w:r>
      <w:r w:rsidRPr="00581B55">
        <w:rPr>
          <w:rFonts w:eastAsia="等线" w:hint="eastAsia"/>
          <w:kern w:val="0"/>
          <w:vertAlign w:val="superscript"/>
        </w:rPr>
        <w:t>1</w:t>
      </w:r>
      <w:r w:rsidRPr="00581B55">
        <w:rPr>
          <w:rFonts w:eastAsia="MS Mincho"/>
          <w:kern w:val="0"/>
          <w:lang w:eastAsia="ja-JP"/>
        </w:rPr>
        <w:t>,</w:t>
      </w:r>
      <w:r w:rsidRPr="00581B55">
        <w:rPr>
          <w:rFonts w:eastAsia="MS Mincho" w:hint="eastAsia"/>
          <w:kern w:val="0"/>
          <w:lang w:eastAsia="ja-JP"/>
        </w:rPr>
        <w:t xml:space="preserve"> </w:t>
      </w:r>
      <w:r w:rsidRPr="00581B55">
        <w:rPr>
          <w:rFonts w:eastAsia="MS Mincho"/>
          <w:kern w:val="0"/>
          <w:lang w:eastAsia="ja-JP"/>
        </w:rPr>
        <w:t xml:space="preserve">Ouyang Yue </w:t>
      </w:r>
      <w:r w:rsidRPr="00581B55">
        <w:rPr>
          <w:rFonts w:eastAsia="等线" w:hint="eastAsia"/>
          <w:kern w:val="0"/>
          <w:vertAlign w:val="superscript"/>
        </w:rPr>
        <w:t>1</w:t>
      </w:r>
      <w:r w:rsidRPr="00581B55">
        <w:rPr>
          <w:rFonts w:eastAsia="MS Mincho"/>
          <w:kern w:val="0"/>
          <w:vertAlign w:val="superscript"/>
          <w:lang w:eastAsia="ja-JP"/>
        </w:rPr>
        <w:t xml:space="preserve">, </w:t>
      </w:r>
      <w:r w:rsidRPr="00581B55">
        <w:rPr>
          <w:rFonts w:eastAsia="MS Mincho"/>
          <w:kern w:val="0"/>
          <w:lang w:eastAsia="ja-JP"/>
        </w:rPr>
        <w:t xml:space="preserve">*, Xinhua Liu </w:t>
      </w:r>
      <w:r w:rsidRPr="00581B55">
        <w:rPr>
          <w:rFonts w:eastAsia="等线" w:hint="eastAsia"/>
          <w:kern w:val="0"/>
          <w:vertAlign w:val="superscript"/>
        </w:rPr>
        <w:t>1</w:t>
      </w:r>
      <w:r w:rsidRPr="00581B55">
        <w:rPr>
          <w:rFonts w:eastAsia="MS Mincho"/>
          <w:kern w:val="0"/>
          <w:vertAlign w:val="superscript"/>
          <w:lang w:eastAsia="ja-JP"/>
        </w:rPr>
        <w:t xml:space="preserve">, </w:t>
      </w:r>
      <w:r w:rsidRPr="00581B55">
        <w:rPr>
          <w:rFonts w:eastAsia="MS Mincho"/>
          <w:kern w:val="0"/>
          <w:lang w:eastAsia="ja-JP"/>
        </w:rPr>
        <w:t>*</w:t>
      </w:r>
    </w:p>
    <w:p w14:paraId="5D04CFBB" w14:textId="77777777" w:rsidR="00581B55" w:rsidRPr="00581B55" w:rsidRDefault="00581B55" w:rsidP="00581B55">
      <w:pPr>
        <w:spacing w:beforeLines="50" w:before="156" w:afterLines="50" w:after="156"/>
        <w:jc w:val="left"/>
        <w:rPr>
          <w:rFonts w:eastAsia="等线"/>
          <w14:ligatures w14:val="standardContextual"/>
        </w:rPr>
      </w:pPr>
      <w:r w:rsidRPr="00581B55">
        <w:rPr>
          <w:rFonts w:eastAsia="等线" w:hint="eastAsia"/>
          <w:vertAlign w:val="superscript"/>
          <w:lang w:bidi="ar"/>
          <w14:ligatures w14:val="standardContextual"/>
        </w:rPr>
        <w:t>1</w:t>
      </w:r>
      <w:r w:rsidRPr="00581B55">
        <w:rPr>
          <w:rFonts w:eastAsia="等线"/>
          <w:lang w:bidi="ar"/>
          <w14:ligatures w14:val="standardContextual"/>
        </w:rPr>
        <w:t xml:space="preserve"> College of Bioresources Chemical and Materials Engineering, Shaanxi University of Science &amp; Technology, Xi’an 710021, </w:t>
      </w:r>
      <w:r w:rsidRPr="00581B55">
        <w:rPr>
          <w:rFonts w:eastAsia="等线" w:hint="eastAsia"/>
          <w:lang w:bidi="ar"/>
          <w14:ligatures w14:val="standardContextual"/>
        </w:rPr>
        <w:t xml:space="preserve">P. R. </w:t>
      </w:r>
      <w:r w:rsidRPr="00581B55">
        <w:rPr>
          <w:rFonts w:eastAsia="等线"/>
          <w:lang w:bidi="ar"/>
          <w14:ligatures w14:val="standardContextual"/>
        </w:rPr>
        <w:t>China</w:t>
      </w:r>
    </w:p>
    <w:p w14:paraId="1CA22DF9" w14:textId="77777777" w:rsidR="00581B55" w:rsidRPr="00581B55" w:rsidRDefault="00581B55" w:rsidP="00581B55">
      <w:pPr>
        <w:spacing w:beforeLines="50" w:before="156" w:afterLines="50" w:after="156"/>
        <w:jc w:val="left"/>
        <w:rPr>
          <w:rFonts w:eastAsia="等线"/>
          <w14:ligatures w14:val="standardContextual"/>
        </w:rPr>
      </w:pPr>
      <w:r w:rsidRPr="00581B55">
        <w:rPr>
          <w:rFonts w:eastAsia="等线" w:hint="eastAsia"/>
          <w:vertAlign w:val="superscript"/>
          <w:lang w:bidi="ar"/>
          <w14:ligatures w14:val="standardContextual"/>
        </w:rPr>
        <w:t>2</w:t>
      </w:r>
      <w:r w:rsidRPr="00581B55">
        <w:rPr>
          <w:rFonts w:eastAsia="等线"/>
          <w:lang w:bidi="ar"/>
          <w14:ligatures w14:val="standardContextual"/>
        </w:rPr>
        <w:t xml:space="preserve"> College of Chemistry and Chemical Engineering, Shaanxi University of Science &amp; Technology, Xi’an 710021, </w:t>
      </w:r>
      <w:r w:rsidRPr="00581B55">
        <w:rPr>
          <w:rFonts w:eastAsia="等线" w:hint="eastAsia"/>
          <w:lang w:bidi="ar"/>
          <w14:ligatures w14:val="standardContextual"/>
        </w:rPr>
        <w:t xml:space="preserve">P. R. </w:t>
      </w:r>
      <w:r w:rsidRPr="00581B55">
        <w:rPr>
          <w:rFonts w:eastAsia="等线"/>
          <w:lang w:bidi="ar"/>
          <w14:ligatures w14:val="standardContextual"/>
        </w:rPr>
        <w:t>China</w:t>
      </w:r>
    </w:p>
    <w:p w14:paraId="14CA78A9" w14:textId="77777777" w:rsidR="00581B55" w:rsidRPr="00581B55" w:rsidRDefault="00581B55" w:rsidP="00581B55">
      <w:pPr>
        <w:spacing w:beforeLines="50" w:before="156" w:afterLines="50" w:after="156"/>
        <w:jc w:val="left"/>
        <w:rPr>
          <w:rFonts w:eastAsia="等线"/>
          <w14:ligatures w14:val="standardContextual"/>
        </w:rPr>
      </w:pPr>
      <w:r w:rsidRPr="00581B55">
        <w:rPr>
          <w:rFonts w:eastAsia="等线"/>
          <w:lang w:bidi="ar"/>
          <w14:ligatures w14:val="standardContextual"/>
        </w:rPr>
        <w:t>*Corresponding author</w:t>
      </w:r>
      <w:r w:rsidRPr="00581B55">
        <w:rPr>
          <w:rFonts w:eastAsia="等线" w:hint="eastAsia"/>
          <w:lang w:bidi="ar"/>
          <w14:ligatures w14:val="standardContextual"/>
        </w:rPr>
        <w:t>s. E-mail</w:t>
      </w:r>
      <w:r w:rsidRPr="00581B55">
        <w:rPr>
          <w:rFonts w:eastAsia="等线"/>
          <w:lang w:bidi="ar"/>
          <w14:ligatures w14:val="standardContextual"/>
        </w:rPr>
        <w:t xml:space="preserve">: </w:t>
      </w:r>
      <w:hyperlink r:id="rId9" w:history="1">
        <w:r w:rsidRPr="00581B55">
          <w:rPr>
            <w:rFonts w:eastAsia="等线"/>
            <w:color w:val="0563C1"/>
            <w:szCs w:val="22"/>
            <w:u w:val="single"/>
            <w14:ligatures w14:val="standardContextual"/>
          </w:rPr>
          <w:t>liuxinhua@sust.edu.cn</w:t>
        </w:r>
      </w:hyperlink>
      <w:r w:rsidRPr="00581B55">
        <w:rPr>
          <w:rFonts w:eastAsia="等线" w:hint="eastAsia"/>
          <w:szCs w:val="22"/>
          <w14:ligatures w14:val="standardContextual"/>
        </w:rPr>
        <w:t xml:space="preserve"> (</w:t>
      </w:r>
      <w:r w:rsidRPr="00581B55">
        <w:rPr>
          <w:rFonts w:eastAsia="MS Mincho"/>
          <w:kern w:val="0"/>
          <w:lang w:eastAsia="ja-JP"/>
        </w:rPr>
        <w:t>Xinhua Liu</w:t>
      </w:r>
      <w:r w:rsidRPr="00581B55">
        <w:rPr>
          <w:rFonts w:eastAsia="等线" w:hint="eastAsia"/>
          <w:szCs w:val="22"/>
          <w14:ligatures w14:val="standardContextual"/>
        </w:rPr>
        <w:t>)</w:t>
      </w:r>
      <w:r w:rsidRPr="00581B55">
        <w:rPr>
          <w:rFonts w:eastAsia="等线"/>
          <w:lang w:bidi="ar"/>
          <w14:ligatures w14:val="standardContextual"/>
        </w:rPr>
        <w:t xml:space="preserve">; </w:t>
      </w:r>
      <w:hyperlink r:id="rId10" w:history="1">
        <w:r w:rsidRPr="00581B55">
          <w:rPr>
            <w:rFonts w:eastAsia="等线"/>
            <w:color w:val="0563C1"/>
            <w:szCs w:val="22"/>
            <w:u w:val="single"/>
            <w14:ligatures w14:val="standardContextual"/>
          </w:rPr>
          <w:t>ouyangyue@sust.edu.cn</w:t>
        </w:r>
      </w:hyperlink>
      <w:r w:rsidRPr="00581B55">
        <w:rPr>
          <w:rFonts w:eastAsia="等线" w:hint="eastAsia"/>
          <w:szCs w:val="22"/>
          <w14:ligatures w14:val="standardContextual"/>
        </w:rPr>
        <w:t xml:space="preserve"> (</w:t>
      </w:r>
      <w:r w:rsidRPr="00581B55">
        <w:rPr>
          <w:rFonts w:eastAsia="MS Mincho"/>
          <w:kern w:val="0"/>
          <w:lang w:eastAsia="ja-JP"/>
        </w:rPr>
        <w:t>Ouyang Yue</w:t>
      </w:r>
      <w:r w:rsidRPr="00581B55">
        <w:rPr>
          <w:rFonts w:eastAsia="等线" w:hint="eastAsia"/>
          <w:szCs w:val="22"/>
          <w14:ligatures w14:val="standardContextual"/>
        </w:rPr>
        <w:t>)</w:t>
      </w:r>
      <w:r w:rsidRPr="00581B55">
        <w:rPr>
          <w:rFonts w:eastAsia="等线"/>
          <w:lang w:bidi="ar"/>
          <w14:ligatures w14:val="standardContextual"/>
        </w:rPr>
        <w:t xml:space="preserve">; </w:t>
      </w:r>
      <w:hyperlink r:id="rId11" w:history="1">
        <w:r w:rsidRPr="00581B55">
          <w:rPr>
            <w:rFonts w:eastAsia="等线"/>
            <w:color w:val="0563C1"/>
            <w:u w:val="single"/>
            <w:lang w:bidi="ar"/>
            <w14:ligatures w14:val="standardContextual"/>
          </w:rPr>
          <w:t>wangxc@sust.edu.cn</w:t>
        </w:r>
      </w:hyperlink>
      <w:r w:rsidRPr="00581B55">
        <w:rPr>
          <w:rFonts w:eastAsia="等线" w:hint="eastAsia"/>
          <w:lang w:bidi="ar"/>
          <w14:ligatures w14:val="standardContextual"/>
        </w:rPr>
        <w:t xml:space="preserve"> (</w:t>
      </w:r>
      <w:r w:rsidRPr="00581B55">
        <w:rPr>
          <w:rFonts w:eastAsia="MS Mincho"/>
          <w:kern w:val="0"/>
          <w:lang w:eastAsia="ja-JP"/>
        </w:rPr>
        <w:t>Xuechuan Wang</w:t>
      </w:r>
      <w:r w:rsidRPr="00581B55">
        <w:rPr>
          <w:rFonts w:eastAsia="等线" w:hint="eastAsia"/>
          <w:lang w:bidi="ar"/>
          <w14:ligatures w14:val="standardContextual"/>
        </w:rPr>
        <w:t>)</w:t>
      </w:r>
    </w:p>
    <w:p w14:paraId="09CC1786" w14:textId="7C767E0D" w:rsidR="00DF4A8C" w:rsidRPr="00DF4A8C" w:rsidRDefault="00581B55" w:rsidP="00581B55">
      <w:pPr>
        <w:spacing w:beforeLines="50" w:before="156" w:afterLines="50" w:after="156"/>
        <w:rPr>
          <w:b/>
          <w:bCs/>
        </w:rPr>
      </w:pPr>
      <w:r>
        <w:rPr>
          <w:rFonts w:hint="eastAsia"/>
          <w:b/>
          <w:bCs/>
        </w:rPr>
        <w:t>N</w:t>
      </w:r>
      <w:r w:rsidR="00025D38" w:rsidRPr="00460FC2">
        <w:rPr>
          <w:b/>
          <w:bCs/>
        </w:rPr>
        <w:t xml:space="preserve">ote S1 Basic </w:t>
      </w:r>
      <w:r w:rsidR="008A7D00" w:rsidRPr="00460FC2">
        <w:rPr>
          <w:b/>
          <w:bCs/>
        </w:rPr>
        <w:t>C</w:t>
      </w:r>
      <w:r w:rsidR="00025D38" w:rsidRPr="00460FC2">
        <w:rPr>
          <w:b/>
          <w:bCs/>
        </w:rPr>
        <w:t xml:space="preserve">haracterization of CA/PEI </w:t>
      </w:r>
      <w:r w:rsidR="008A7D00" w:rsidRPr="00460FC2">
        <w:rPr>
          <w:b/>
          <w:bCs/>
        </w:rPr>
        <w:t>M</w:t>
      </w:r>
      <w:r w:rsidR="00025D38" w:rsidRPr="00460FC2">
        <w:rPr>
          <w:b/>
          <w:bCs/>
        </w:rPr>
        <w:t>aterials</w:t>
      </w:r>
    </w:p>
    <w:p w14:paraId="5BD5FC57" w14:textId="4033A1F3" w:rsidR="00DF4A8C" w:rsidRPr="00DF4A8C" w:rsidRDefault="00B7443B" w:rsidP="00581B55">
      <w:pPr>
        <w:spacing w:beforeLines="50" w:before="156" w:afterLines="50" w:after="156"/>
      </w:pPr>
      <w:r w:rsidRPr="00460FC2">
        <w:t>Validation of successful CA/PEI preparation was conducted through FTIR spectroscopy at varying PEI/TGIC ratios (</w:t>
      </w:r>
      <w:r w:rsidR="00841B89">
        <w:rPr>
          <w:b/>
          <w:bCs/>
        </w:rPr>
        <w:t>Fig.</w:t>
      </w:r>
      <w:r w:rsidRPr="00460FC2">
        <w:rPr>
          <w:b/>
          <w:bCs/>
        </w:rPr>
        <w:t xml:space="preserve"> S1</w:t>
      </w:r>
      <w:r w:rsidR="007318B0">
        <w:rPr>
          <w:rFonts w:hint="eastAsia"/>
          <w:b/>
          <w:bCs/>
        </w:rPr>
        <w:t>3</w:t>
      </w:r>
      <w:r w:rsidRPr="00460FC2">
        <w:t>). The broad absorption peak at 3286.6 cm⁻¹ arises from overlapping N-H stretching vibrations of PEI’s secondary amine groups (-NH- at 3284 cm⁻¹) and O-H stretching from hydrolyzed TGIC. Significantly enhanced C-H characteristic peaks at 2929.7 cm⁻¹ and 2846.8 cm⁻¹ originate from the aliphatic chains of PEI. The shift of the amide I band to 1685.7 cm⁻¹ indicates new amide bond (C=O) formation through reactions between TGIC epoxy groups and collagen amino groups. Overlapping signals at 1460.1 cm⁻¹</w:t>
      </w:r>
      <w:r w:rsidRPr="00DF4A8C">
        <w:t>—</w:t>
      </w:r>
      <w:r w:rsidRPr="00460FC2">
        <w:t>attributable to the collagen amide II band and PEI methylene bending vibration (1460 cm⁻¹)</w:t>
      </w:r>
      <w:r w:rsidRPr="00DF4A8C">
        <w:t>—</w:t>
      </w:r>
      <w:r w:rsidRPr="00460FC2">
        <w:t>provide evidence for PEI network crosslinking. Furthermore, the C-N stretching vibration at 1029.9 cm⁻¹ confirms amine group participation in the reaction. Raman point scans of TGIC and PEI (</w:t>
      </w:r>
      <w:r w:rsidR="00841B89">
        <w:rPr>
          <w:b/>
          <w:bCs/>
        </w:rPr>
        <w:t>Fig.</w:t>
      </w:r>
      <w:r w:rsidRPr="00460FC2">
        <w:rPr>
          <w:b/>
          <w:bCs/>
        </w:rPr>
        <w:t xml:space="preserve"> S1</w:t>
      </w:r>
      <w:r w:rsidR="007318B0">
        <w:rPr>
          <w:rFonts w:hint="eastAsia"/>
          <w:b/>
          <w:bCs/>
        </w:rPr>
        <w:t>4</w:t>
      </w:r>
      <w:r w:rsidRPr="00460FC2">
        <w:rPr>
          <w:b/>
          <w:bCs/>
        </w:rPr>
        <w:t>a</w:t>
      </w:r>
      <w:r w:rsidRPr="00460FC2">
        <w:t>) reveal distinct peaks at 1457.7 cm⁻¹, 2963.3 cm⁻¹, and 2875.2 cm⁻¹ corresponding to PEI’s aliphatic chain structures (-CH₂- and -CH₃), consistent with its branched polyethylenimine characteristics. The peak at 1257.7 cm⁻¹ represents the C-N stretching vibration of TGIC’s triazine ring, confirming core structural integrity. Analysis of CA/PEI samples (</w:t>
      </w:r>
      <w:r w:rsidR="00841B89">
        <w:rPr>
          <w:b/>
          <w:bCs/>
        </w:rPr>
        <w:t>Fig.</w:t>
      </w:r>
      <w:r w:rsidRPr="00460FC2">
        <w:rPr>
          <w:b/>
          <w:bCs/>
        </w:rPr>
        <w:t xml:space="preserve"> S1</w:t>
      </w:r>
      <w:r w:rsidR="007318B0">
        <w:rPr>
          <w:rFonts w:hint="eastAsia"/>
          <w:b/>
          <w:bCs/>
        </w:rPr>
        <w:t>4</w:t>
      </w:r>
      <w:r w:rsidRPr="00460FC2">
        <w:rPr>
          <w:b/>
          <w:bCs/>
        </w:rPr>
        <w:t>b</w:t>
      </w:r>
      <w:r w:rsidRPr="00460FC2">
        <w:t>) shows the characteristic crosslinking peak of TGIC’s triazine ring C-N bond at 1286.1 cm⁻¹ decreases in intensity with reduced TGIC content, indicating higher TGIC proportions promote crosslinking. Concurrently, peak intensity in the aliphatic C-H region (2969.1 cm⁻¹) increases with higher PEI content, signifying PEI dominance and insufficient crosslinking. Notably, a distinct and minimally perturbed amide I band peak within 1600-1700 cm</w:t>
      </w:r>
      <w:bookmarkStart w:id="1" w:name="OLE_LINK6"/>
      <w:r w:rsidRPr="00460FC2">
        <w:t>⁻r</w:t>
      </w:r>
      <w:bookmarkEnd w:id="1"/>
      <w:r w:rsidRPr="00460FC2">
        <w:t xml:space="preserve"> is observed at the 3:1 PEI: TGIC ratio, suggesting this ratio is optimal. XPS analysis further confirmed CA/PEI preparation (</w:t>
      </w:r>
      <w:r w:rsidR="00841B89">
        <w:rPr>
          <w:b/>
          <w:bCs/>
        </w:rPr>
        <w:t>Fig.</w:t>
      </w:r>
      <w:r w:rsidRPr="00460FC2">
        <w:rPr>
          <w:b/>
          <w:bCs/>
        </w:rPr>
        <w:t xml:space="preserve"> S1</w:t>
      </w:r>
      <w:r w:rsidR="007318B0">
        <w:rPr>
          <w:rFonts w:hint="eastAsia"/>
          <w:b/>
          <w:bCs/>
        </w:rPr>
        <w:t>5</w:t>
      </w:r>
      <w:r w:rsidRPr="00460FC2">
        <w:rPr>
          <w:b/>
          <w:bCs/>
        </w:rPr>
        <w:t>a</w:t>
      </w:r>
      <w:r w:rsidRPr="00460FC2">
        <w:t xml:space="preserve">), showing significantly enhanced N1s peak intensity for </w:t>
      </w:r>
      <w:r w:rsidRPr="00460FC2">
        <w:lastRenderedPageBreak/>
        <w:t>modified CA/PEI versus unmodified CA. Peak deconvolution fitting of core levels revealed a C-N bond at 400.4 eV in N</w:t>
      </w:r>
      <w:r w:rsidR="00E643AD">
        <w:rPr>
          <w:rFonts w:hint="eastAsia"/>
        </w:rPr>
        <w:t xml:space="preserve"> </w:t>
      </w:r>
      <w:r w:rsidRPr="00460FC2">
        <w:t>1s (</w:t>
      </w:r>
      <w:r w:rsidR="00841B89">
        <w:rPr>
          <w:b/>
          <w:bCs/>
        </w:rPr>
        <w:t>Fig.</w:t>
      </w:r>
      <w:r w:rsidRPr="00460FC2">
        <w:rPr>
          <w:b/>
          <w:bCs/>
        </w:rPr>
        <w:t xml:space="preserve"> S1</w:t>
      </w:r>
      <w:r w:rsidR="007318B0">
        <w:rPr>
          <w:rFonts w:hint="eastAsia"/>
          <w:b/>
          <w:bCs/>
        </w:rPr>
        <w:t>5</w:t>
      </w:r>
      <w:r w:rsidRPr="00460FC2">
        <w:rPr>
          <w:b/>
          <w:bCs/>
        </w:rPr>
        <w:t>b</w:t>
      </w:r>
      <w:r w:rsidRPr="00460FC2">
        <w:t>), alongside C=O (532.0 eV) and C-O (533.8 eV) bonds in O1s (</w:t>
      </w:r>
      <w:r w:rsidR="00841B89">
        <w:rPr>
          <w:b/>
          <w:bCs/>
        </w:rPr>
        <w:t>Fig.</w:t>
      </w:r>
      <w:r w:rsidRPr="00460FC2">
        <w:rPr>
          <w:b/>
          <w:bCs/>
        </w:rPr>
        <w:t xml:space="preserve"> S1</w:t>
      </w:r>
      <w:r w:rsidR="007318B0">
        <w:rPr>
          <w:rFonts w:hint="eastAsia"/>
          <w:b/>
          <w:bCs/>
        </w:rPr>
        <w:t>5</w:t>
      </w:r>
      <w:r w:rsidRPr="00460FC2">
        <w:rPr>
          <w:b/>
          <w:bCs/>
        </w:rPr>
        <w:t>c</w:t>
      </w:r>
      <w:r w:rsidRPr="00460FC2">
        <w:t>). While confirming amino and carbonyl group presence in CA/PEI, these features alone cannot prove successful PEI crosslinking. Critically, the appearance of C-O-C at 286 eV in C</w:t>
      </w:r>
      <w:r w:rsidR="00E643AD">
        <w:rPr>
          <w:rFonts w:hint="eastAsia"/>
        </w:rPr>
        <w:t xml:space="preserve"> </w:t>
      </w:r>
      <w:r w:rsidRPr="00460FC2">
        <w:t>1s (</w:t>
      </w:r>
      <w:r w:rsidR="00841B89">
        <w:rPr>
          <w:b/>
          <w:bCs/>
        </w:rPr>
        <w:t>Fig.</w:t>
      </w:r>
      <w:r w:rsidRPr="00460FC2">
        <w:rPr>
          <w:b/>
          <w:bCs/>
        </w:rPr>
        <w:t xml:space="preserve"> S1</w:t>
      </w:r>
      <w:r w:rsidR="007318B0">
        <w:rPr>
          <w:rFonts w:hint="eastAsia"/>
          <w:b/>
          <w:bCs/>
        </w:rPr>
        <w:t>5</w:t>
      </w:r>
      <w:r w:rsidRPr="00460FC2">
        <w:rPr>
          <w:b/>
          <w:bCs/>
        </w:rPr>
        <w:t>d</w:t>
      </w:r>
      <w:r w:rsidRPr="00460FC2">
        <w:t>) provides direct evidence for the TGIC ring-opening reaction and successful PEI introduction onto CA. Water contact angle measurements across PEI: TGIC ratios (</w:t>
      </w:r>
      <w:r w:rsidR="00841B89">
        <w:rPr>
          <w:b/>
          <w:bCs/>
        </w:rPr>
        <w:t>Fig.</w:t>
      </w:r>
      <w:r w:rsidRPr="00460FC2">
        <w:rPr>
          <w:b/>
          <w:bCs/>
        </w:rPr>
        <w:t xml:space="preserve"> S1</w:t>
      </w:r>
      <w:r w:rsidR="007318B0">
        <w:rPr>
          <w:rFonts w:hint="eastAsia"/>
          <w:b/>
          <w:bCs/>
        </w:rPr>
        <w:t>6</w:t>
      </w:r>
      <w:r w:rsidRPr="00460FC2">
        <w:rPr>
          <w:b/>
          <w:bCs/>
        </w:rPr>
        <w:t>a</w:t>
      </w:r>
      <w:r w:rsidRPr="00460FC2">
        <w:t xml:space="preserve">) demonstrate increased hydrophilicity with higher free amino group content, where the lowest contact angle at the 3:1 ratio correlates with maximal amino groups and strongest electropositivity. </w:t>
      </w:r>
      <w:r w:rsidR="00841B89">
        <w:rPr>
          <w:b/>
          <w:bCs/>
        </w:rPr>
        <w:t>Fig.</w:t>
      </w:r>
      <w:r w:rsidRPr="00460FC2">
        <w:rPr>
          <w:b/>
          <w:bCs/>
        </w:rPr>
        <w:t xml:space="preserve"> S1</w:t>
      </w:r>
      <w:r w:rsidR="007318B0">
        <w:rPr>
          <w:rFonts w:hint="eastAsia"/>
          <w:b/>
          <w:bCs/>
        </w:rPr>
        <w:t>6</w:t>
      </w:r>
      <w:r w:rsidRPr="00460FC2">
        <w:rPr>
          <w:b/>
          <w:bCs/>
        </w:rPr>
        <w:t>b</w:t>
      </w:r>
      <w:r w:rsidRPr="00460FC2">
        <w:t xml:space="preserve"> details the significant hydrophilic transformation post-modification.</w:t>
      </w:r>
    </w:p>
    <w:p w14:paraId="65183C27" w14:textId="48907FC1" w:rsidR="00DF4A8C" w:rsidRPr="00DF4A8C" w:rsidRDefault="001A2CCB" w:rsidP="00581B55">
      <w:pPr>
        <w:spacing w:beforeLines="50" w:before="156" w:afterLines="50" w:after="156"/>
        <w:rPr>
          <w:b/>
          <w:bCs/>
        </w:rPr>
      </w:pPr>
      <w:r>
        <w:rPr>
          <w:rFonts w:hint="eastAsia"/>
          <w:b/>
          <w:bCs/>
        </w:rPr>
        <w:t>N</w:t>
      </w:r>
      <w:r w:rsidR="00025D38" w:rsidRPr="00460FC2">
        <w:rPr>
          <w:b/>
          <w:bCs/>
        </w:rPr>
        <w:t xml:space="preserve">ote S2 </w:t>
      </w:r>
      <w:r w:rsidR="00025D38" w:rsidRPr="00025D38">
        <w:rPr>
          <w:b/>
          <w:bCs/>
        </w:rPr>
        <w:t>Detailed Architecture of the 1D-CNN Model</w:t>
      </w:r>
    </w:p>
    <w:p w14:paraId="43A77595" w14:textId="54B2CFB3" w:rsidR="00DF4A8C" w:rsidRPr="00DF4A8C" w:rsidRDefault="00025D38" w:rsidP="00581B55">
      <w:pPr>
        <w:spacing w:beforeLines="50" w:before="156" w:afterLines="50" w:after="156"/>
      </w:pPr>
      <w:r w:rsidRPr="00025D38">
        <w:t>The Convolutional Neural Network (CNN) architecture, as illustrated in</w:t>
      </w:r>
      <w:r w:rsidRPr="00025D38">
        <w:rPr>
          <w:b/>
          <w:bCs/>
        </w:rPr>
        <w:t xml:space="preserve"> </w:t>
      </w:r>
      <w:r w:rsidR="00943535">
        <w:rPr>
          <w:rFonts w:hint="eastAsia"/>
          <w:b/>
          <w:bCs/>
        </w:rPr>
        <w:t>Fig.</w:t>
      </w:r>
      <w:r w:rsidR="008A7D00">
        <w:rPr>
          <w:rFonts w:hint="eastAsia"/>
          <w:b/>
          <w:bCs/>
        </w:rPr>
        <w:t xml:space="preserve"> </w:t>
      </w:r>
      <w:r w:rsidR="00943535">
        <w:rPr>
          <w:rFonts w:hint="eastAsia"/>
          <w:b/>
          <w:bCs/>
        </w:rPr>
        <w:t>S1</w:t>
      </w:r>
      <w:r w:rsidR="007318B0">
        <w:rPr>
          <w:rFonts w:hint="eastAsia"/>
          <w:b/>
          <w:bCs/>
        </w:rPr>
        <w:t>9</w:t>
      </w:r>
      <w:r w:rsidR="00943535">
        <w:rPr>
          <w:rFonts w:hint="eastAsia"/>
          <w:b/>
          <w:bCs/>
        </w:rPr>
        <w:t xml:space="preserve"> and </w:t>
      </w:r>
      <w:r w:rsidR="001002CE" w:rsidRPr="00460FC2">
        <w:rPr>
          <w:b/>
          <w:bCs/>
        </w:rPr>
        <w:t>Table</w:t>
      </w:r>
      <w:r w:rsidR="008A7D00">
        <w:rPr>
          <w:rFonts w:hint="eastAsia"/>
          <w:b/>
          <w:bCs/>
        </w:rPr>
        <w:t>s</w:t>
      </w:r>
      <w:r w:rsidR="001002CE" w:rsidRPr="00460FC2">
        <w:rPr>
          <w:b/>
          <w:bCs/>
        </w:rPr>
        <w:t xml:space="preserve"> S4-S5</w:t>
      </w:r>
      <w:r w:rsidRPr="00025D38">
        <w:t>, is explicitly designed to process the 1D time-series triboelectric signals. The network consists of three sequential convolutional blocks followed by two fully connected (dense) layers.</w:t>
      </w:r>
    </w:p>
    <w:p w14:paraId="3B18AB0B" w14:textId="77777777" w:rsidR="00DF4A8C" w:rsidRPr="00DF4A8C" w:rsidRDefault="00025D38" w:rsidP="00581B55">
      <w:pPr>
        <w:spacing w:beforeLines="50" w:before="156" w:afterLines="50" w:after="156"/>
      </w:pPr>
      <w:r w:rsidRPr="00025D38">
        <w:t>Feature Extraction: The input signal first passes through the first convolutional layer (C1) with 6 filters to capture low-level temporal features. This is followed by a second layer (C2) with 12 filters, and a third layer (C3) with 60 filters, which extracts high-level semantic patterns from the signal.</w:t>
      </w:r>
    </w:p>
    <w:p w14:paraId="4478B0FD" w14:textId="77777777" w:rsidR="00DF4A8C" w:rsidRPr="00DF4A8C" w:rsidRDefault="00025D38" w:rsidP="00581B55">
      <w:pPr>
        <w:spacing w:beforeLines="50" w:before="156" w:afterLines="50" w:after="156"/>
      </w:pPr>
      <w:r w:rsidRPr="00025D38">
        <w:t>Classification: The output feature maps from C3 are flattened and fed into a fully connected layer (FC1) containing 60 neurons. The final output layer (FC2) consists of 6 neurons, corresponding to the six target classification categories. A Softmax function is applied to the output to generate the probability distribution for object recognition.</w:t>
      </w:r>
    </w:p>
    <w:p w14:paraId="316FA7BC" w14:textId="415116D6" w:rsidR="00DF4A8C" w:rsidRPr="00DF4A8C" w:rsidRDefault="008A7D00" w:rsidP="00581B55">
      <w:pPr>
        <w:spacing w:beforeLines="50" w:before="156" w:afterLines="50" w:after="156"/>
        <w:rPr>
          <w:b/>
          <w:bCs/>
        </w:rPr>
      </w:pPr>
      <w:bookmarkStart w:id="2" w:name="Xbaea5f86323635c41e1fce0682f13828e0d7cbf"/>
      <w:r>
        <w:rPr>
          <w:rFonts w:hint="eastAsia"/>
          <w:b/>
          <w:bCs/>
        </w:rPr>
        <w:t>N</w:t>
      </w:r>
      <w:r w:rsidR="0092039A" w:rsidRPr="00EF1A32">
        <w:rPr>
          <w:b/>
          <w:bCs/>
        </w:rPr>
        <w:t>ote S</w:t>
      </w:r>
      <w:r w:rsidR="00460FC2" w:rsidRPr="00EF1A32">
        <w:rPr>
          <w:b/>
          <w:bCs/>
        </w:rPr>
        <w:t>3</w:t>
      </w:r>
      <w:r w:rsidR="0092039A" w:rsidRPr="00EF1A32">
        <w:rPr>
          <w:b/>
          <w:bCs/>
        </w:rPr>
        <w:t xml:space="preserve"> Theoretical Derivation of the Performance Enhancement Mechanism</w:t>
      </w:r>
    </w:p>
    <w:p w14:paraId="663A2FC0" w14:textId="77777777" w:rsidR="00DF4A8C" w:rsidRPr="00DF4A8C" w:rsidRDefault="0092039A" w:rsidP="00581B55">
      <w:pPr>
        <w:spacing w:beforeLines="50" w:before="156" w:afterLines="50" w:after="156"/>
      </w:pPr>
      <w:bookmarkStart w:id="3" w:name="_Hlk218875461"/>
      <w:r w:rsidRPr="00460FC2">
        <w:t>This section provides a rigorous theoretical framework to elucidate the physical mechanism by which the auxetic metastructure enhances the triboelectric performance. We establish an analytical model linking the structural mechanics of Poisson’s ratio to the contact electrification dynamics.</w:t>
      </w:r>
    </w:p>
    <w:p w14:paraId="71A28C7D" w14:textId="77777777" w:rsidR="00DF4A8C" w:rsidRPr="00DF4A8C" w:rsidRDefault="0092039A" w:rsidP="00581B55">
      <w:pPr>
        <w:pStyle w:val="a0"/>
        <w:spacing w:beforeLines="50" w:before="156" w:afterLines="50" w:after="156" w:line="240" w:lineRule="auto"/>
        <w:ind w:firstLineChars="0" w:firstLine="0"/>
        <w:rPr>
          <w:rFonts w:ascii="Times New Roman" w:hAnsi="Times New Roman" w:cs="Times New Roman"/>
        </w:rPr>
      </w:pPr>
      <w:bookmarkStart w:id="4" w:name="X813a11928f6188660898f6ee2d5ebfc1fa08b78"/>
      <w:r w:rsidRPr="00A26389">
        <w:rPr>
          <w:rFonts w:ascii="Times New Roman" w:hAnsi="Times New Roman" w:cs="Times New Roman"/>
        </w:rPr>
        <w:t>1. Mechanics of Synclastic Curvature and Interface Conformability</w:t>
      </w:r>
    </w:p>
    <w:p w14:paraId="578089C4" w14:textId="77777777" w:rsidR="00DF4A8C" w:rsidRPr="00DF4A8C" w:rsidRDefault="0092039A" w:rsidP="00581B55">
      <w:pPr>
        <w:pStyle w:val="FirstParagraph"/>
        <w:spacing w:beforeLines="50" w:before="156" w:afterLines="50" w:after="156" w:line="240" w:lineRule="auto"/>
        <w:ind w:firstLineChars="0" w:firstLine="0"/>
        <w:jc w:val="both"/>
        <w:rPr>
          <w:rFonts w:ascii="Times New Roman" w:hAnsi="Times New Roman" w:cs="Times New Roman"/>
        </w:rPr>
      </w:pPr>
      <w:r w:rsidRPr="00460FC2">
        <w:rPr>
          <w:rFonts w:ascii="Times New Roman" w:hAnsi="Times New Roman" w:cs="Times New Roman"/>
        </w:rPr>
        <w:t>The fundamental advantage of the auxetic sensor lies in its ability to exhibit synclastic curvature, which minimizes the geometric mismatch with human joints.</w:t>
      </w:r>
    </w:p>
    <w:p w14:paraId="10670117" w14:textId="77777777" w:rsidR="00DF4A8C" w:rsidRPr="00DF4A8C" w:rsidRDefault="0092039A" w:rsidP="00581B55">
      <w:pPr>
        <w:pStyle w:val="a0"/>
        <w:spacing w:beforeLines="50" w:before="156" w:afterLines="50" w:after="156" w:line="240" w:lineRule="auto"/>
        <w:ind w:firstLineChars="0" w:firstLine="0"/>
        <w:jc w:val="both"/>
        <w:rPr>
          <w:rFonts w:ascii="Times New Roman" w:eastAsiaTheme="minorEastAsia" w:hAnsi="Times New Roman" w:cs="Times New Roman"/>
        </w:rPr>
      </w:pPr>
      <w:r w:rsidRPr="00460FC2">
        <w:rPr>
          <w:rFonts w:ascii="Times New Roman" w:hAnsi="Times New Roman" w:cs="Times New Roman"/>
        </w:rPr>
        <w:t xml:space="preserve">Consider a thin elastomeric sheet with thickness </w:t>
      </w:r>
      <m:oMath>
        <m:r>
          <w:rPr>
            <w:rFonts w:cs="Times New Roman"/>
          </w:rPr>
          <m:t>h</m:t>
        </m:r>
      </m:oMath>
      <w:r w:rsidRPr="00460FC2">
        <w:rPr>
          <w:rFonts w:ascii="Times New Roman" w:hAnsi="Times New Roman" w:cs="Times New Roman"/>
        </w:rPr>
        <w:t xml:space="preserve"> subject to a pure bending moment </w:t>
      </w:r>
      <m:oMath>
        <m:r>
          <w:rPr>
            <w:rFonts w:cs="Times New Roman"/>
          </w:rPr>
          <m:t>M</m:t>
        </m:r>
      </m:oMath>
      <w:r w:rsidRPr="00460FC2">
        <w:rPr>
          <w:rFonts w:ascii="Times New Roman" w:hAnsi="Times New Roman" w:cs="Times New Roman"/>
        </w:rPr>
        <w:t xml:space="preserve"> along the </w:t>
      </w:r>
      <m:oMath>
        <m:r>
          <w:rPr>
            <w:rFonts w:cs="Times New Roman"/>
          </w:rPr>
          <m:t>x</m:t>
        </m:r>
      </m:oMath>
      <w:r w:rsidRPr="00460FC2">
        <w:rPr>
          <w:rFonts w:ascii="Times New Roman" w:hAnsi="Times New Roman" w:cs="Times New Roman"/>
        </w:rPr>
        <w:t xml:space="preserve">-axis (longitudinal direction). The longitudinal curvature is defined as </w:t>
      </w:r>
      <m:oMath>
        <m:sSub>
          <m:sSubPr>
            <m:ctrlPr>
              <w:rPr>
                <w:rFonts w:cs="Times New Roman"/>
              </w:rPr>
            </m:ctrlPr>
          </m:sSubPr>
          <m:e>
            <m:r>
              <w:rPr>
                <w:rFonts w:cs="Times New Roman"/>
              </w:rPr>
              <m:t>κ</m:t>
            </m:r>
          </m:e>
          <m:sub>
            <m:r>
              <w:rPr>
                <w:rFonts w:cs="Times New Roman"/>
              </w:rPr>
              <m:t>x</m:t>
            </m:r>
          </m:sub>
        </m:sSub>
        <m:r>
          <m:rPr>
            <m:sty m:val="p"/>
          </m:rPr>
          <w:rPr>
            <w:rFonts w:cs="Times New Roman"/>
          </w:rPr>
          <m:t>=</m:t>
        </m:r>
        <m:r>
          <w:rPr>
            <w:rFonts w:cs="Times New Roman"/>
          </w:rPr>
          <m:t>1</m:t>
        </m:r>
        <m:r>
          <m:rPr>
            <m:sty m:val="p"/>
          </m:rPr>
          <w:rPr>
            <w:rFonts w:cs="Times New Roman"/>
          </w:rPr>
          <m:t>/</m:t>
        </m:r>
        <m:sSub>
          <m:sSubPr>
            <m:ctrlPr>
              <w:rPr>
                <w:rFonts w:cs="Times New Roman"/>
              </w:rPr>
            </m:ctrlPr>
          </m:sSubPr>
          <m:e>
            <m:r>
              <w:rPr>
                <w:rFonts w:cs="Times New Roman"/>
              </w:rPr>
              <m:t>R</m:t>
            </m:r>
          </m:e>
          <m:sub>
            <m:r>
              <w:rPr>
                <w:rFonts w:cs="Times New Roman"/>
              </w:rPr>
              <m:t>x</m:t>
            </m:r>
          </m:sub>
        </m:sSub>
      </m:oMath>
      <w:r w:rsidRPr="00460FC2">
        <w:rPr>
          <w:rFonts w:ascii="Times New Roman" w:hAnsi="Times New Roman" w:cs="Times New Roman"/>
        </w:rPr>
        <w:t xml:space="preserve">. According to the classical plate theory, the transverse curvature </w:t>
      </w:r>
      <m:oMath>
        <m:sSub>
          <m:sSubPr>
            <m:ctrlPr>
              <w:rPr>
                <w:rFonts w:cs="Times New Roman"/>
              </w:rPr>
            </m:ctrlPr>
          </m:sSubPr>
          <m:e>
            <m:r>
              <w:rPr>
                <w:rFonts w:cs="Times New Roman"/>
              </w:rPr>
              <m:t>κ</m:t>
            </m:r>
          </m:e>
          <m:sub>
            <m:r>
              <w:rPr>
                <w:rFonts w:cs="Times New Roman"/>
              </w:rPr>
              <m:t>y</m:t>
            </m:r>
          </m:sub>
        </m:sSub>
      </m:oMath>
      <w:r w:rsidRPr="00460FC2">
        <w:rPr>
          <w:rFonts w:ascii="Times New Roman" w:hAnsi="Times New Roman" w:cs="Times New Roman"/>
        </w:rPr>
        <w:t xml:space="preserve"> induced by the Poisson’s effect is governed by the relation:</w:t>
      </w:r>
    </w:p>
    <w:p w14:paraId="0294E680" w14:textId="1C682611" w:rsidR="00DF4A8C" w:rsidRPr="00DF4A8C" w:rsidRDefault="00A12A67" w:rsidP="00E643AD">
      <w:pPr>
        <w:pStyle w:val="a0"/>
        <w:spacing w:beforeLines="50" w:before="156" w:afterLines="50" w:after="156" w:line="240" w:lineRule="auto"/>
        <w:jc w:val="right"/>
        <w:rPr>
          <w:rFonts w:ascii="Times New Roman" w:hAnsi="Times New Roman" w:cs="Times New Roman"/>
        </w:rPr>
      </w:pPr>
      <w:r>
        <w:rPr>
          <w:rFonts w:ascii="Times New Roman" w:eastAsiaTheme="minorEastAsia" w:hAnsi="Times New Roman" w:cs="Times New Roman" w:hint="eastAsia"/>
        </w:rPr>
        <w:t xml:space="preserve">                    </w:t>
      </w:r>
      <m:oMath>
        <m:sSub>
          <m:sSubPr>
            <m:ctrlPr>
              <w:rPr>
                <w:rFonts w:cs="Times New Roman"/>
              </w:rPr>
            </m:ctrlPr>
          </m:sSubPr>
          <m:e>
            <m:r>
              <w:rPr>
                <w:rFonts w:cs="Times New Roman"/>
              </w:rPr>
              <m:t>κ</m:t>
            </m:r>
          </m:e>
          <m:sub>
            <m:r>
              <w:rPr>
                <w:rFonts w:cs="Times New Roman"/>
              </w:rPr>
              <m:t>y</m:t>
            </m:r>
          </m:sub>
        </m:sSub>
        <m:r>
          <m:rPr>
            <m:sty m:val="p"/>
          </m:rPr>
          <w:rPr>
            <w:rFonts w:cs="Times New Roman"/>
          </w:rPr>
          <m:t>=-</m:t>
        </m:r>
        <m:r>
          <w:rPr>
            <w:rFonts w:cs="Times New Roman"/>
          </w:rPr>
          <m:t>ν</m:t>
        </m:r>
        <m:r>
          <m:rPr>
            <m:sty m:val="p"/>
          </m:rPr>
          <w:rPr>
            <w:rFonts w:cs="Times New Roman"/>
          </w:rPr>
          <m:t>⋅</m:t>
        </m:r>
        <m:sSub>
          <m:sSubPr>
            <m:ctrlPr>
              <w:rPr>
                <w:rFonts w:cs="Times New Roman"/>
              </w:rPr>
            </m:ctrlPr>
          </m:sSubPr>
          <m:e>
            <m:r>
              <w:rPr>
                <w:rFonts w:cs="Times New Roman"/>
              </w:rPr>
              <m:t>κ</m:t>
            </m:r>
          </m:e>
          <m:sub>
            <m:r>
              <w:rPr>
                <w:rFonts w:cs="Times New Roman"/>
              </w:rPr>
              <m:t>x</m:t>
            </m:r>
          </m:sub>
        </m:sSub>
      </m:oMath>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sidR="00E643AD">
        <w:rPr>
          <w:rFonts w:ascii="Times New Roman" w:eastAsiaTheme="minorEastAsia" w:hAnsi="Times New Roman" w:cs="Times New Roman" w:hint="eastAsia"/>
        </w:rPr>
        <w:t xml:space="preserve">     </w:t>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hint="eastAsia"/>
        </w:rPr>
        <w:t>(</w:t>
      </w:r>
      <w:r w:rsidR="00464EFC">
        <w:rPr>
          <w:rFonts w:ascii="Times New Roman" w:eastAsiaTheme="minorEastAsia" w:hAnsi="Times New Roman" w:cs="Times New Roman" w:hint="eastAsia"/>
        </w:rPr>
        <w:t>S</w:t>
      </w:r>
      <w:r>
        <w:rPr>
          <w:rFonts w:ascii="Times New Roman" w:eastAsiaTheme="minorEastAsia" w:hAnsi="Times New Roman" w:cs="Times New Roman" w:hint="eastAsia"/>
        </w:rPr>
        <w:t>1)</w:t>
      </w:r>
    </w:p>
    <w:p w14:paraId="41424BB8" w14:textId="77777777" w:rsidR="00DF4A8C" w:rsidRPr="00DF4A8C" w:rsidRDefault="0092039A" w:rsidP="00581B55">
      <w:pPr>
        <w:pStyle w:val="a0"/>
        <w:spacing w:beforeLines="50" w:before="156" w:afterLines="50" w:after="156" w:line="240" w:lineRule="auto"/>
        <w:jc w:val="both"/>
        <w:rPr>
          <w:rFonts w:ascii="Times New Roman" w:hAnsi="Times New Roman" w:cs="Times New Roman"/>
        </w:rPr>
      </w:pPr>
      <w:r w:rsidRPr="00460FC2">
        <w:rPr>
          <w:rFonts w:ascii="Times New Roman" w:hAnsi="Times New Roman" w:cs="Times New Roman"/>
        </w:rPr>
        <w:t xml:space="preserve">where </w:t>
      </w:r>
      <m:oMath>
        <m:r>
          <w:rPr>
            <w:rFonts w:cs="Times New Roman"/>
          </w:rPr>
          <m:t>ν</m:t>
        </m:r>
      </m:oMath>
      <w:r w:rsidRPr="00460FC2">
        <w:rPr>
          <w:rFonts w:ascii="Times New Roman" w:hAnsi="Times New Roman" w:cs="Times New Roman"/>
        </w:rPr>
        <w:t xml:space="preserve"> is the Poisson’s ratio of the structural material.</w:t>
      </w:r>
    </w:p>
    <w:p w14:paraId="19506C85" w14:textId="77777777" w:rsidR="00DF4A8C" w:rsidRPr="00DF4A8C" w:rsidRDefault="0092039A" w:rsidP="00581B55">
      <w:pPr>
        <w:pStyle w:val="a0"/>
        <w:spacing w:beforeLines="50" w:before="156" w:afterLines="50" w:after="156" w:line="240" w:lineRule="auto"/>
        <w:jc w:val="both"/>
        <w:rPr>
          <w:rFonts w:ascii="Times New Roman" w:hAnsi="Times New Roman" w:cs="Times New Roman"/>
        </w:rPr>
      </w:pPr>
      <w:r w:rsidRPr="00460FC2">
        <w:rPr>
          <w:rFonts w:ascii="Times New Roman" w:hAnsi="Times New Roman" w:cs="Times New Roman"/>
        </w:rPr>
        <w:t xml:space="preserve">For conventional materials (e.g., standard elastomers where </w:t>
      </w:r>
      <m:oMath>
        <m:r>
          <w:rPr>
            <w:rFonts w:cs="Times New Roman"/>
          </w:rPr>
          <m:t>ν</m:t>
        </m:r>
        <m:r>
          <m:rPr>
            <m:sty m:val="p"/>
          </m:rPr>
          <w:rPr>
            <w:rFonts w:cs="Times New Roman"/>
          </w:rPr>
          <m:t>≈</m:t>
        </m:r>
        <m:r>
          <w:rPr>
            <w:rFonts w:cs="Times New Roman"/>
          </w:rPr>
          <m:t>0.5</m:t>
        </m:r>
      </m:oMath>
      <w:r w:rsidRPr="00460FC2">
        <w:rPr>
          <w:rFonts w:ascii="Times New Roman" w:hAnsi="Times New Roman" w:cs="Times New Roman"/>
        </w:rPr>
        <w:t xml:space="preserve">), </w:t>
      </w:r>
      <m:oMath>
        <m:sSub>
          <m:sSubPr>
            <m:ctrlPr>
              <w:rPr>
                <w:rFonts w:cs="Times New Roman"/>
              </w:rPr>
            </m:ctrlPr>
          </m:sSubPr>
          <m:e>
            <m:r>
              <w:rPr>
                <w:rFonts w:cs="Times New Roman"/>
              </w:rPr>
              <m:t>κ</m:t>
            </m:r>
          </m:e>
          <m:sub>
            <m:r>
              <w:rPr>
                <w:rFonts w:cs="Times New Roman"/>
              </w:rPr>
              <m:t>y</m:t>
            </m:r>
          </m:sub>
        </m:sSub>
      </m:oMath>
      <w:r w:rsidRPr="00460FC2">
        <w:rPr>
          <w:rFonts w:ascii="Times New Roman" w:hAnsi="Times New Roman" w:cs="Times New Roman"/>
        </w:rPr>
        <w:t xml:space="preserve"> has the opposite sign to </w:t>
      </w:r>
      <m:oMath>
        <m:sSub>
          <m:sSubPr>
            <m:ctrlPr>
              <w:rPr>
                <w:rFonts w:cs="Times New Roman"/>
              </w:rPr>
            </m:ctrlPr>
          </m:sSubPr>
          <m:e>
            <m:r>
              <w:rPr>
                <w:rFonts w:cs="Times New Roman"/>
              </w:rPr>
              <m:t>κ</m:t>
            </m:r>
          </m:e>
          <m:sub>
            <m:r>
              <w:rPr>
                <w:rFonts w:cs="Times New Roman"/>
              </w:rPr>
              <m:t>x</m:t>
            </m:r>
          </m:sub>
        </m:sSub>
      </m:oMath>
      <w:r w:rsidRPr="00460FC2">
        <w:rPr>
          <w:rFonts w:ascii="Times New Roman" w:hAnsi="Times New Roman" w:cs="Times New Roman"/>
        </w:rPr>
        <w:t>. If the sheet is bent downwards (</w:t>
      </w:r>
      <m:oMath>
        <m:sSub>
          <m:sSubPr>
            <m:ctrlPr>
              <w:rPr>
                <w:rFonts w:cs="Times New Roman"/>
              </w:rPr>
            </m:ctrlPr>
          </m:sSubPr>
          <m:e>
            <m:r>
              <w:rPr>
                <w:rFonts w:cs="Times New Roman"/>
              </w:rPr>
              <m:t>κ</m:t>
            </m:r>
          </m:e>
          <m:sub>
            <m:r>
              <w:rPr>
                <w:rFonts w:cs="Times New Roman"/>
              </w:rPr>
              <m:t>x</m:t>
            </m:r>
          </m:sub>
        </m:sSub>
        <m:r>
          <m:rPr>
            <m:sty m:val="p"/>
          </m:rPr>
          <w:rPr>
            <w:rFonts w:cs="Times New Roman"/>
          </w:rPr>
          <m:t>&gt;</m:t>
        </m:r>
        <m:r>
          <w:rPr>
            <w:rFonts w:cs="Times New Roman"/>
          </w:rPr>
          <m:t>0</m:t>
        </m:r>
      </m:oMath>
      <w:r w:rsidRPr="00460FC2">
        <w:rPr>
          <w:rFonts w:ascii="Times New Roman" w:hAnsi="Times New Roman" w:cs="Times New Roman"/>
        </w:rPr>
        <w:t>), the transverse direction bends upwards (</w:t>
      </w:r>
      <m:oMath>
        <m:sSub>
          <m:sSubPr>
            <m:ctrlPr>
              <w:rPr>
                <w:rFonts w:cs="Times New Roman"/>
              </w:rPr>
            </m:ctrlPr>
          </m:sSubPr>
          <m:e>
            <m:r>
              <w:rPr>
                <w:rFonts w:cs="Times New Roman"/>
              </w:rPr>
              <m:t>κ</m:t>
            </m:r>
          </m:e>
          <m:sub>
            <m:r>
              <w:rPr>
                <w:rFonts w:cs="Times New Roman"/>
              </w:rPr>
              <m:t>y</m:t>
            </m:r>
          </m:sub>
        </m:sSub>
        <m:r>
          <m:rPr>
            <m:sty m:val="p"/>
          </m:rPr>
          <w:rPr>
            <w:rFonts w:cs="Times New Roman"/>
          </w:rPr>
          <m:t>&lt;</m:t>
        </m:r>
        <m:r>
          <w:rPr>
            <w:rFonts w:cs="Times New Roman"/>
          </w:rPr>
          <m:t>0</m:t>
        </m:r>
      </m:oMath>
      <w:r w:rsidRPr="00460FC2">
        <w:rPr>
          <w:rFonts w:ascii="Times New Roman" w:hAnsi="Times New Roman" w:cs="Times New Roman"/>
        </w:rPr>
        <w:t xml:space="preserve">). This </w:t>
      </w:r>
      <w:r w:rsidRPr="005668D0">
        <w:rPr>
          <w:rFonts w:ascii="Times New Roman" w:hAnsi="Times New Roman" w:cs="Times New Roman"/>
        </w:rPr>
        <w:t>results in anticlastic curvature (</w:t>
      </w:r>
      <w:r w:rsidRPr="00460FC2">
        <w:rPr>
          <w:rFonts w:ascii="Times New Roman" w:hAnsi="Times New Roman" w:cs="Times New Roman"/>
        </w:rPr>
        <w:t>a saddle shape).</w:t>
      </w:r>
    </w:p>
    <w:p w14:paraId="246A4849" w14:textId="77777777" w:rsidR="00DF4A8C" w:rsidRPr="00DF4A8C" w:rsidRDefault="0092039A" w:rsidP="00581B55">
      <w:pPr>
        <w:pStyle w:val="a0"/>
        <w:spacing w:beforeLines="50" w:before="156" w:afterLines="50" w:after="156" w:line="240" w:lineRule="auto"/>
        <w:jc w:val="both"/>
        <w:rPr>
          <w:rFonts w:ascii="Times New Roman" w:eastAsiaTheme="minorEastAsia" w:hAnsi="Times New Roman" w:cs="Times New Roman"/>
        </w:rPr>
      </w:pPr>
      <w:r w:rsidRPr="00460FC2">
        <w:rPr>
          <w:rFonts w:ascii="Times New Roman" w:hAnsi="Times New Roman" w:cs="Times New Roman"/>
        </w:rPr>
        <w:t xml:space="preserve">The vertical deviation (gap height) </w:t>
      </w:r>
      <m:oMath>
        <m:r>
          <w:rPr>
            <w:rFonts w:cs="Times New Roman"/>
          </w:rPr>
          <m:t>z</m:t>
        </m:r>
        <m:r>
          <m:rPr>
            <m:sty m:val="p"/>
          </m:rPr>
          <w:rPr>
            <w:rFonts w:cs="Times New Roman"/>
          </w:rPr>
          <m:t>(</m:t>
        </m:r>
        <m:r>
          <w:rPr>
            <w:rFonts w:cs="Times New Roman"/>
          </w:rPr>
          <m:t>y</m:t>
        </m:r>
        <m:r>
          <m:rPr>
            <m:sty m:val="p"/>
          </m:rPr>
          <w:rPr>
            <w:rFonts w:cs="Times New Roman"/>
          </w:rPr>
          <m:t>)</m:t>
        </m:r>
      </m:oMath>
      <w:r w:rsidRPr="00460FC2">
        <w:rPr>
          <w:rFonts w:ascii="Times New Roman" w:hAnsi="Times New Roman" w:cs="Times New Roman"/>
        </w:rPr>
        <w:t xml:space="preserve"> at the edges relative to the center can be approximated by geometric expansion:</w:t>
      </w:r>
    </w:p>
    <w:p w14:paraId="411927CF" w14:textId="752D9973" w:rsidR="00DF4A8C" w:rsidRPr="00DF4A8C" w:rsidRDefault="009B67A7" w:rsidP="00E643AD">
      <w:pPr>
        <w:pStyle w:val="a0"/>
        <w:spacing w:beforeLines="50" w:before="156" w:afterLines="50" w:after="156" w:line="240" w:lineRule="auto"/>
        <w:jc w:val="right"/>
        <w:rPr>
          <w:rFonts w:ascii="Times New Roman" w:eastAsiaTheme="minorEastAsia" w:hAnsi="Times New Roman" w:cs="Times New Roman"/>
        </w:rPr>
      </w:pPr>
      <w:r>
        <w:rPr>
          <w:rFonts w:ascii="Times New Roman" w:eastAsiaTheme="minorEastAsia" w:hAnsi="Times New Roman" w:cs="Times New Roman" w:hint="eastAsia"/>
        </w:rPr>
        <w:t xml:space="preserve">                   </w:t>
      </w:r>
      <m:oMath>
        <m:r>
          <w:rPr>
            <w:rFonts w:cs="Times New Roman"/>
          </w:rPr>
          <m:t>z</m:t>
        </m:r>
        <m:r>
          <m:rPr>
            <m:sty m:val="p"/>
          </m:rPr>
          <w:rPr>
            <w:rFonts w:cs="Times New Roman"/>
          </w:rPr>
          <m:t>(</m:t>
        </m:r>
        <m:r>
          <w:rPr>
            <w:rFonts w:cs="Times New Roman"/>
          </w:rPr>
          <m:t>y</m:t>
        </m:r>
        <m:r>
          <m:rPr>
            <m:sty m:val="p"/>
          </m:rPr>
          <w:rPr>
            <w:rFonts w:cs="Times New Roman"/>
          </w:rPr>
          <m:t>)≈</m:t>
        </m:r>
        <m:f>
          <m:fPr>
            <m:ctrlPr>
              <w:rPr>
                <w:rFonts w:cs="Times New Roman"/>
              </w:rPr>
            </m:ctrlPr>
          </m:fPr>
          <m:num>
            <m:r>
              <w:rPr>
                <w:rFonts w:cs="Times New Roman"/>
              </w:rPr>
              <m:t>1</m:t>
            </m:r>
          </m:num>
          <m:den>
            <m:r>
              <w:rPr>
                <w:rFonts w:cs="Times New Roman"/>
              </w:rPr>
              <m:t>2</m:t>
            </m:r>
          </m:den>
        </m:f>
        <m:sSub>
          <m:sSubPr>
            <m:ctrlPr>
              <w:rPr>
                <w:rFonts w:cs="Times New Roman"/>
              </w:rPr>
            </m:ctrlPr>
          </m:sSubPr>
          <m:e>
            <m:r>
              <w:rPr>
                <w:rFonts w:cs="Times New Roman"/>
              </w:rPr>
              <m:t>κ</m:t>
            </m:r>
          </m:e>
          <m:sub>
            <m:r>
              <w:rPr>
                <w:rFonts w:cs="Times New Roman"/>
              </w:rPr>
              <m:t>y</m:t>
            </m:r>
          </m:sub>
        </m:sSub>
        <m:sSup>
          <m:sSupPr>
            <m:ctrlPr>
              <w:rPr>
                <w:rFonts w:cs="Times New Roman"/>
              </w:rPr>
            </m:ctrlPr>
          </m:sSupPr>
          <m:e>
            <m:r>
              <w:rPr>
                <w:rFonts w:cs="Times New Roman"/>
              </w:rPr>
              <m:t>y</m:t>
            </m:r>
          </m:e>
          <m:sup>
            <m:r>
              <w:rPr>
                <w:rFonts w:cs="Times New Roman"/>
              </w:rPr>
              <m:t>2</m:t>
            </m:r>
          </m:sup>
        </m:sSup>
        <m:r>
          <m:rPr>
            <m:sty m:val="p"/>
          </m:rPr>
          <w:rPr>
            <w:rFonts w:cs="Times New Roman"/>
          </w:rPr>
          <m:t>=-</m:t>
        </m:r>
        <m:f>
          <m:fPr>
            <m:ctrlPr>
              <w:rPr>
                <w:rFonts w:cs="Times New Roman"/>
              </w:rPr>
            </m:ctrlPr>
          </m:fPr>
          <m:num>
            <m:r>
              <w:rPr>
                <w:rFonts w:cs="Times New Roman"/>
              </w:rPr>
              <m:t>1</m:t>
            </m:r>
          </m:num>
          <m:den>
            <m:r>
              <w:rPr>
                <w:rFonts w:cs="Times New Roman"/>
              </w:rPr>
              <m:t>2</m:t>
            </m:r>
          </m:den>
        </m:f>
        <m:r>
          <w:rPr>
            <w:rFonts w:cs="Times New Roman"/>
          </w:rPr>
          <m:t>ν</m:t>
        </m:r>
        <m:sSub>
          <m:sSubPr>
            <m:ctrlPr>
              <w:rPr>
                <w:rFonts w:cs="Times New Roman"/>
              </w:rPr>
            </m:ctrlPr>
          </m:sSubPr>
          <m:e>
            <m:r>
              <w:rPr>
                <w:rFonts w:cs="Times New Roman"/>
              </w:rPr>
              <m:t>κ</m:t>
            </m:r>
          </m:e>
          <m:sub>
            <m:r>
              <w:rPr>
                <w:rFonts w:cs="Times New Roman"/>
              </w:rPr>
              <m:t>x</m:t>
            </m:r>
          </m:sub>
        </m:sSub>
        <m:sSup>
          <m:sSupPr>
            <m:ctrlPr>
              <w:rPr>
                <w:rFonts w:cs="Times New Roman"/>
              </w:rPr>
            </m:ctrlPr>
          </m:sSupPr>
          <m:e>
            <m:r>
              <w:rPr>
                <w:rFonts w:cs="Times New Roman"/>
              </w:rPr>
              <m:t>y</m:t>
            </m:r>
          </m:e>
          <m:sup>
            <m:r>
              <w:rPr>
                <w:rFonts w:cs="Times New Roman"/>
              </w:rPr>
              <m:t>2</m:t>
            </m:r>
          </m:sup>
        </m:sSup>
      </m:oMath>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hint="eastAsia"/>
        </w:rPr>
        <w:t>(</w:t>
      </w:r>
      <w:r w:rsidR="00464EFC">
        <w:rPr>
          <w:rFonts w:ascii="Times New Roman" w:eastAsiaTheme="minorEastAsia" w:hAnsi="Times New Roman" w:cs="Times New Roman" w:hint="eastAsia"/>
        </w:rPr>
        <w:t>S</w:t>
      </w:r>
      <w:r>
        <w:rPr>
          <w:rFonts w:ascii="Times New Roman" w:eastAsiaTheme="minorEastAsia" w:hAnsi="Times New Roman" w:cs="Times New Roman" w:hint="eastAsia"/>
        </w:rPr>
        <w:t>2)</w:t>
      </w:r>
    </w:p>
    <w:p w14:paraId="460A4324" w14:textId="77777777" w:rsidR="00DF4A8C" w:rsidRPr="00DF4A8C" w:rsidRDefault="0092039A" w:rsidP="00581B55">
      <w:pPr>
        <w:widowControl/>
        <w:spacing w:beforeLines="50" w:before="156" w:afterLines="50" w:after="156"/>
      </w:pPr>
      <w:r w:rsidRPr="00460FC2">
        <w:t xml:space="preserve">This negative deviation implies that the edges lift away from the underlying convex surface (e.g., skin), creating a delamination gap </w:t>
      </w:r>
      <m:oMath>
        <m:sSub>
          <m:sSubPr>
            <m:ctrlPr>
              <w:rPr>
                <w:rFonts w:ascii="Cambria Math" w:hAnsi="Cambria Math"/>
              </w:rPr>
            </m:ctrlPr>
          </m:sSubPr>
          <m:e>
            <m:r>
              <w:rPr>
                <w:rFonts w:ascii="Cambria Math" w:hAnsi="Cambria Math"/>
              </w:rPr>
              <m:t>δ</m:t>
            </m:r>
          </m:e>
          <m:sub>
            <m:r>
              <w:rPr>
                <w:rFonts w:ascii="Cambria Math" w:hAnsi="Cambria Math"/>
              </w:rPr>
              <m:t>gap</m:t>
            </m:r>
          </m:sub>
        </m:sSub>
      </m:oMath>
      <w:r w:rsidRPr="00460FC2">
        <w:t>.</w:t>
      </w:r>
    </w:p>
    <w:p w14:paraId="32064703" w14:textId="77777777" w:rsidR="00DF4A8C" w:rsidRPr="00DF4A8C" w:rsidRDefault="0092039A" w:rsidP="00581B55">
      <w:pPr>
        <w:widowControl/>
        <w:spacing w:beforeLines="50" w:before="156" w:afterLines="50" w:after="156"/>
      </w:pPr>
      <w:r w:rsidRPr="00460FC2">
        <w:t>For our re-entrant structure with a negative Poisson’s ratio (</w:t>
      </w:r>
      <m:oMath>
        <m:r>
          <w:rPr>
            <w:rFonts w:ascii="Cambria Math" w:hAnsi="Cambria Math"/>
          </w:rPr>
          <m:t>ν</m:t>
        </m:r>
        <m:r>
          <m:rPr>
            <m:sty m:val="p"/>
          </m:rPr>
          <w:rPr>
            <w:rFonts w:ascii="Cambria Math" w:hAnsi="Cambria Math"/>
          </w:rPr>
          <m:t>&lt;</m:t>
        </m:r>
        <m:r>
          <w:rPr>
            <w:rFonts w:ascii="Cambria Math" w:hAnsi="Cambria Math"/>
          </w:rPr>
          <m:t>0</m:t>
        </m:r>
      </m:oMath>
      <w:r w:rsidRPr="00460FC2">
        <w:t xml:space="preserve">), the transverse curvature </w:t>
      </w:r>
      <m:oMath>
        <m:sSub>
          <m:sSubPr>
            <m:ctrlPr>
              <w:rPr>
                <w:rFonts w:ascii="Cambria Math" w:hAnsi="Cambria Math"/>
              </w:rPr>
            </m:ctrlPr>
          </m:sSubPr>
          <m:e>
            <m:r>
              <w:rPr>
                <w:rFonts w:ascii="Cambria Math" w:hAnsi="Cambria Math"/>
              </w:rPr>
              <m:t>κ</m:t>
            </m:r>
          </m:e>
          <m:sub>
            <m:r>
              <w:rPr>
                <w:rFonts w:ascii="Cambria Math" w:hAnsi="Cambria Math"/>
              </w:rPr>
              <m:t>y</m:t>
            </m:r>
          </m:sub>
        </m:sSub>
      </m:oMath>
      <w:r w:rsidRPr="00460FC2">
        <w:t xml:space="preserve"> has the same sign as </w:t>
      </w:r>
      <m:oMath>
        <m:sSub>
          <m:sSubPr>
            <m:ctrlPr>
              <w:rPr>
                <w:rFonts w:ascii="Cambria Math" w:hAnsi="Cambria Math"/>
              </w:rPr>
            </m:ctrlPr>
          </m:sSubPr>
          <m:e>
            <m:r>
              <w:rPr>
                <w:rFonts w:ascii="Cambria Math" w:hAnsi="Cambria Math"/>
              </w:rPr>
              <m:t>κ</m:t>
            </m:r>
          </m:e>
          <m:sub>
            <m:r>
              <w:rPr>
                <w:rFonts w:ascii="Cambria Math" w:hAnsi="Cambria Math"/>
              </w:rPr>
              <m:t>x</m:t>
            </m:r>
          </m:sub>
        </m:sSub>
      </m:oMath>
      <w:r w:rsidRPr="00460FC2">
        <w:t>.</w:t>
      </w:r>
    </w:p>
    <w:p w14:paraId="4AF093C5" w14:textId="41845805" w:rsidR="00DF4A8C" w:rsidRPr="00DF4A8C" w:rsidRDefault="009B67A7" w:rsidP="00E643AD">
      <w:pPr>
        <w:pStyle w:val="a0"/>
        <w:spacing w:beforeLines="50" w:before="156" w:afterLines="50" w:after="156" w:line="240" w:lineRule="auto"/>
        <w:jc w:val="right"/>
        <w:rPr>
          <w:rFonts w:ascii="Times New Roman" w:eastAsiaTheme="minorEastAsia" w:hAnsi="Times New Roman" w:cs="Times New Roman"/>
        </w:rPr>
      </w:pPr>
      <w:r>
        <w:rPr>
          <w:rFonts w:ascii="Times New Roman" w:eastAsiaTheme="minorEastAsia" w:hAnsi="Times New Roman" w:cs="Times New Roman" w:hint="eastAsia"/>
        </w:rPr>
        <w:t xml:space="preserve">                   </w:t>
      </w:r>
      <m:oMath>
        <m:sSub>
          <m:sSubPr>
            <m:ctrlPr>
              <w:rPr>
                <w:rFonts w:cs="Times New Roman"/>
              </w:rPr>
            </m:ctrlPr>
          </m:sSubPr>
          <m:e>
            <m:r>
              <w:rPr>
                <w:rFonts w:cs="Times New Roman"/>
              </w:rPr>
              <m:t>κ</m:t>
            </m:r>
          </m:e>
          <m:sub>
            <m:r>
              <w:rPr>
                <w:rFonts w:cs="Times New Roman"/>
              </w:rPr>
              <m:t>y</m:t>
            </m:r>
          </m:sub>
        </m:sSub>
        <m:r>
          <m:rPr>
            <m:sty m:val="p"/>
          </m:rPr>
          <w:rPr>
            <w:rFonts w:cs="Times New Roman"/>
          </w:rPr>
          <m:t>=-(-|</m:t>
        </m:r>
        <m:r>
          <w:rPr>
            <w:rFonts w:cs="Times New Roman"/>
          </w:rPr>
          <m:t>ν</m:t>
        </m:r>
        <m:r>
          <m:rPr>
            <m:sty m:val="p"/>
          </m:rPr>
          <w:rPr>
            <w:rFonts w:cs="Times New Roman"/>
          </w:rPr>
          <m:t>|)⋅</m:t>
        </m:r>
        <m:sSub>
          <m:sSubPr>
            <m:ctrlPr>
              <w:rPr>
                <w:rFonts w:cs="Times New Roman"/>
              </w:rPr>
            </m:ctrlPr>
          </m:sSubPr>
          <m:e>
            <m:r>
              <w:rPr>
                <w:rFonts w:cs="Times New Roman"/>
              </w:rPr>
              <m:t>κ</m:t>
            </m:r>
          </m:e>
          <m:sub>
            <m:r>
              <w:rPr>
                <w:rFonts w:cs="Times New Roman"/>
              </w:rPr>
              <m:t>x</m:t>
            </m:r>
          </m:sub>
        </m:sSub>
        <m:r>
          <m:rPr>
            <m:sty m:val="p"/>
          </m:rPr>
          <w:rPr>
            <w:rFonts w:cs="Times New Roman"/>
          </w:rPr>
          <m:t>=|</m:t>
        </m:r>
        <m:r>
          <w:rPr>
            <w:rFonts w:cs="Times New Roman"/>
          </w:rPr>
          <m:t>ν</m:t>
        </m:r>
        <m:r>
          <m:rPr>
            <m:sty m:val="p"/>
          </m:rPr>
          <w:rPr>
            <w:rFonts w:cs="Times New Roman"/>
          </w:rPr>
          <m:t>|⋅</m:t>
        </m:r>
        <m:sSub>
          <m:sSubPr>
            <m:ctrlPr>
              <w:rPr>
                <w:rFonts w:cs="Times New Roman"/>
              </w:rPr>
            </m:ctrlPr>
          </m:sSubPr>
          <m:e>
            <m:r>
              <w:rPr>
                <w:rFonts w:cs="Times New Roman"/>
              </w:rPr>
              <m:t>κ</m:t>
            </m:r>
          </m:e>
          <m:sub>
            <m:r>
              <w:rPr>
                <w:rFonts w:cs="Times New Roman"/>
              </w:rPr>
              <m:t>x</m:t>
            </m:r>
          </m:sub>
        </m:sSub>
        <m:r>
          <m:rPr>
            <m:sty m:val="p"/>
          </m:rPr>
          <w:rPr>
            <w:rFonts w:cs="Times New Roman"/>
          </w:rPr>
          <m:t>&gt;</m:t>
        </m:r>
        <m:r>
          <w:rPr>
            <w:rFonts w:cs="Times New Roman"/>
          </w:rPr>
          <m:t>0</m:t>
        </m:r>
      </m:oMath>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hint="eastAsia"/>
        </w:rPr>
        <w:t>(</w:t>
      </w:r>
      <w:r w:rsidR="00464EFC">
        <w:rPr>
          <w:rFonts w:ascii="Times New Roman" w:eastAsiaTheme="minorEastAsia" w:hAnsi="Times New Roman" w:cs="Times New Roman" w:hint="eastAsia"/>
        </w:rPr>
        <w:t>S</w:t>
      </w:r>
      <w:r>
        <w:rPr>
          <w:rFonts w:ascii="Times New Roman" w:eastAsiaTheme="minorEastAsia" w:hAnsi="Times New Roman" w:cs="Times New Roman" w:hint="eastAsia"/>
        </w:rPr>
        <w:t>3)</w:t>
      </w:r>
    </w:p>
    <w:p w14:paraId="6524C885" w14:textId="77777777" w:rsidR="00DF4A8C" w:rsidRPr="00DF4A8C" w:rsidRDefault="0092039A" w:rsidP="00581B55">
      <w:pPr>
        <w:pStyle w:val="a0"/>
        <w:spacing w:beforeLines="50" w:before="156" w:afterLines="50" w:after="156" w:line="240" w:lineRule="auto"/>
        <w:ind w:firstLineChars="0" w:firstLine="0"/>
        <w:jc w:val="both"/>
        <w:rPr>
          <w:rFonts w:ascii="Times New Roman" w:hAnsi="Times New Roman" w:cs="Times New Roman"/>
        </w:rPr>
      </w:pPr>
      <w:r w:rsidRPr="00460FC2">
        <w:rPr>
          <w:rFonts w:ascii="Times New Roman" w:hAnsi="Times New Roman" w:cs="Times New Roman"/>
        </w:rPr>
        <w:t xml:space="preserve">This results in </w:t>
      </w:r>
      <w:r w:rsidRPr="005668D0">
        <w:rPr>
          <w:rFonts w:ascii="Times New Roman" w:hAnsi="Times New Roman" w:cs="Times New Roman"/>
        </w:rPr>
        <w:t>synclastic curvature</w:t>
      </w:r>
      <w:r w:rsidRPr="00460FC2">
        <w:rPr>
          <w:rFonts w:ascii="Times New Roman" w:hAnsi="Times New Roman" w:cs="Times New Roman"/>
        </w:rPr>
        <w:t xml:space="preserve"> (a dome shape). The deformation naturally follows the convex curvature of the joint, minimizing the gap height (</w:t>
      </w:r>
      <m:oMath>
        <m:r>
          <w:rPr>
            <w:rFonts w:cs="Times New Roman"/>
          </w:rPr>
          <m:t>z</m:t>
        </m:r>
        <m:r>
          <m:rPr>
            <m:sty m:val="p"/>
          </m:rPr>
          <w:rPr>
            <w:rFonts w:cs="Times New Roman"/>
          </w:rPr>
          <m:t>(</m:t>
        </m:r>
        <m:r>
          <w:rPr>
            <w:rFonts w:cs="Times New Roman"/>
          </w:rPr>
          <m:t>y</m:t>
        </m:r>
        <m:r>
          <m:rPr>
            <m:sty m:val="p"/>
          </m:rPr>
          <w:rPr>
            <w:rFonts w:cs="Times New Roman"/>
          </w:rPr>
          <m:t>)→</m:t>
        </m:r>
        <m:r>
          <w:rPr>
            <w:rFonts w:cs="Times New Roman"/>
          </w:rPr>
          <m:t>0</m:t>
        </m:r>
      </m:oMath>
      <w:r w:rsidRPr="00460FC2">
        <w:rPr>
          <w:rFonts w:ascii="Times New Roman" w:hAnsi="Times New Roman" w:cs="Times New Roman"/>
        </w:rPr>
        <w:t>). This geometric matching ensures that the interface remains in conformal contact without restoring forces causing detachment.</w:t>
      </w:r>
    </w:p>
    <w:p w14:paraId="1E9EAFE9" w14:textId="77777777" w:rsidR="00DF4A8C" w:rsidRPr="00DF4A8C" w:rsidRDefault="0092039A" w:rsidP="00581B55">
      <w:pPr>
        <w:pStyle w:val="4"/>
        <w:spacing w:beforeLines="50" w:before="156" w:afterLines="50" w:after="156" w:line="240" w:lineRule="auto"/>
        <w:jc w:val="both"/>
        <w:rPr>
          <w:rFonts w:ascii="Times New Roman" w:hAnsi="Times New Roman" w:cs="Times New Roman"/>
          <w:bCs w:val="0"/>
        </w:rPr>
      </w:pPr>
      <w:bookmarkStart w:id="5" w:name="X0cdd2d426dd916fa98864c2e5aeb7cd257b0e0b"/>
      <w:bookmarkEnd w:id="4"/>
      <w:r w:rsidRPr="00A26389">
        <w:rPr>
          <w:rFonts w:ascii="Times New Roman" w:hAnsi="Times New Roman" w:cs="Times New Roman"/>
          <w:bCs w:val="0"/>
        </w:rPr>
        <w:t>2. Evolution of Effective Contact Area (</w:t>
      </w:r>
      <m:oMath>
        <m:sSub>
          <m:sSubPr>
            <m:ctrlPr>
              <w:rPr>
                <w:rFonts w:ascii="Cambria Math" w:hAnsi="Cambria Math" w:cs="Times New Roman"/>
                <w:bCs w:val="0"/>
              </w:rPr>
            </m:ctrlPr>
          </m:sSubPr>
          <m:e>
            <m:r>
              <w:rPr>
                <w:rFonts w:ascii="Cambria Math" w:hAnsi="Cambria Math" w:cs="Times New Roman"/>
              </w:rPr>
              <m:t>S</m:t>
            </m:r>
          </m:e>
          <m:sub>
            <m:r>
              <w:rPr>
                <w:rFonts w:ascii="Cambria Math" w:hAnsi="Cambria Math" w:cs="Times New Roman"/>
              </w:rPr>
              <m:t>eff</m:t>
            </m:r>
          </m:sub>
        </m:sSub>
      </m:oMath>
      <w:r w:rsidRPr="00A26389">
        <w:rPr>
          <w:rFonts w:ascii="Times New Roman" w:hAnsi="Times New Roman" w:cs="Times New Roman"/>
          <w:bCs w:val="0"/>
        </w:rPr>
        <w:t>)</w:t>
      </w:r>
    </w:p>
    <w:p w14:paraId="523725EE" w14:textId="77777777" w:rsidR="00DF4A8C" w:rsidRPr="00DF4A8C" w:rsidRDefault="0092039A" w:rsidP="00581B55">
      <w:pPr>
        <w:pStyle w:val="FirstParagraph"/>
        <w:spacing w:beforeLines="50" w:before="156" w:afterLines="50" w:after="156" w:line="240" w:lineRule="auto"/>
        <w:jc w:val="both"/>
        <w:rPr>
          <w:rFonts w:ascii="Times New Roman" w:hAnsi="Times New Roman" w:cs="Times New Roman"/>
        </w:rPr>
      </w:pPr>
      <w:r w:rsidRPr="00460FC2">
        <w:rPr>
          <w:rFonts w:ascii="Times New Roman" w:hAnsi="Times New Roman" w:cs="Times New Roman"/>
        </w:rPr>
        <w:t xml:space="preserve">The electrical output of a contact-separation TENG is strictly proportional to the effective contact area </w:t>
      </w:r>
      <m:oMath>
        <m:sSub>
          <m:sSubPr>
            <m:ctrlPr>
              <w:rPr>
                <w:rFonts w:cs="Times New Roman"/>
              </w:rPr>
            </m:ctrlPr>
          </m:sSubPr>
          <m:e>
            <m:r>
              <w:rPr>
                <w:rFonts w:cs="Times New Roman"/>
              </w:rPr>
              <m:t>S</m:t>
            </m:r>
          </m:e>
          <m:sub>
            <m:r>
              <w:rPr>
                <w:rFonts w:cs="Times New Roman"/>
              </w:rPr>
              <m:t>eff</m:t>
            </m:r>
          </m:sub>
        </m:sSub>
        <m:r>
          <m:rPr>
            <m:sty m:val="p"/>
          </m:rPr>
          <w:rPr>
            <w:rFonts w:cs="Times New Roman"/>
          </w:rPr>
          <m:t>(</m:t>
        </m:r>
        <m:r>
          <w:rPr>
            <w:rFonts w:cs="Times New Roman"/>
          </w:rPr>
          <m:t>t</m:t>
        </m:r>
        <m:r>
          <m:rPr>
            <m:sty m:val="p"/>
          </m:rPr>
          <w:rPr>
            <w:rFonts w:cs="Times New Roman"/>
          </w:rPr>
          <m:t>)</m:t>
        </m:r>
      </m:oMath>
      <w:r w:rsidRPr="00460FC2">
        <w:rPr>
          <w:rFonts w:ascii="Times New Roman" w:hAnsi="Times New Roman" w:cs="Times New Roman"/>
        </w:rPr>
        <w:t xml:space="preserve">. We model the effective area as the integral of the contact interface </w:t>
      </w:r>
      <m:oMath>
        <m:r>
          <m:rPr>
            <m:sty m:val="p"/>
          </m:rPr>
          <w:rPr>
            <w:rFonts w:cs="Times New Roman"/>
          </w:rPr>
          <m:t>Ω</m:t>
        </m:r>
      </m:oMath>
      <w:r w:rsidRPr="00460FC2">
        <w:rPr>
          <w:rFonts w:ascii="Times New Roman" w:hAnsi="Times New Roman" w:cs="Times New Roman"/>
        </w:rPr>
        <w:t xml:space="preserve"> weighted by a contact pressure distribution function </w:t>
      </w:r>
      <m:oMath>
        <m:r>
          <w:rPr>
            <w:rFonts w:cs="Times New Roman"/>
          </w:rPr>
          <m:t>H</m:t>
        </m:r>
        <m:r>
          <m:rPr>
            <m:sty m:val="p"/>
          </m:rPr>
          <w:rPr>
            <w:rFonts w:cs="Times New Roman"/>
          </w:rPr>
          <m:t>(</m:t>
        </m:r>
        <m:r>
          <w:rPr>
            <w:rFonts w:cs="Times New Roman"/>
          </w:rPr>
          <m:t>P</m:t>
        </m:r>
        <m:r>
          <m:rPr>
            <m:sty m:val="p"/>
          </m:rPr>
          <w:rPr>
            <w:rFonts w:cs="Times New Roman"/>
          </w:rPr>
          <m:t>)</m:t>
        </m:r>
      </m:oMath>
      <w:r w:rsidRPr="00460FC2">
        <w:rPr>
          <w:rFonts w:ascii="Times New Roman" w:hAnsi="Times New Roman" w:cs="Times New Roman"/>
        </w:rPr>
        <w:t>:</w:t>
      </w:r>
    </w:p>
    <w:p w14:paraId="0E4F1840" w14:textId="1428F2FC" w:rsidR="00DF4A8C" w:rsidRPr="00DF4A8C" w:rsidRDefault="009B67A7" w:rsidP="00E643AD">
      <w:pPr>
        <w:pStyle w:val="a0"/>
        <w:spacing w:beforeLines="50" w:before="156" w:afterLines="50" w:after="156" w:line="240" w:lineRule="auto"/>
        <w:jc w:val="right"/>
        <w:rPr>
          <w:rFonts w:ascii="Times New Roman" w:eastAsiaTheme="minorEastAsia" w:hAnsi="Times New Roman" w:cs="Times New Roman"/>
          <w:iCs/>
        </w:rPr>
      </w:pPr>
      <w:r>
        <w:rPr>
          <w:rFonts w:ascii="Times New Roman" w:eastAsiaTheme="minorEastAsia" w:hAnsi="Times New Roman" w:cs="Times New Roman" w:hint="eastAsia"/>
          <w:iCs/>
        </w:rPr>
        <w:t xml:space="preserve">               </w:t>
      </w:r>
      <m:oMath>
        <m:sSub>
          <m:sSubPr>
            <m:ctrlPr>
              <w:rPr>
                <w:rFonts w:cs="Times New Roman"/>
                <w:i/>
                <w:iCs/>
              </w:rPr>
            </m:ctrlPr>
          </m:sSubPr>
          <m:e>
            <m:r>
              <m:rPr>
                <m:nor/>
              </m:rPr>
              <w:rPr>
                <w:rFonts w:ascii="Times New Roman" w:hAnsi="Times New Roman" w:cs="Times New Roman"/>
                <w:i/>
                <w:iCs/>
              </w:rPr>
              <m:t>S</m:t>
            </m:r>
          </m:e>
          <m:sub>
            <m:r>
              <m:rPr>
                <m:nor/>
              </m:rPr>
              <w:rPr>
                <w:rFonts w:ascii="Times New Roman" w:hAnsi="Times New Roman" w:cs="Times New Roman"/>
                <w:i/>
                <w:iCs/>
              </w:rPr>
              <m:t>eff</m:t>
            </m:r>
          </m:sub>
        </m:sSub>
        <m:r>
          <m:rPr>
            <m:nor/>
          </m:rPr>
          <w:rPr>
            <w:rFonts w:ascii="Times New Roman" w:hAnsi="Times New Roman" w:cs="Times New Roman"/>
            <w:i/>
            <w:iCs/>
          </w:rPr>
          <m:t>(t)=</m:t>
        </m:r>
        <m:nary>
          <m:naryPr>
            <m:chr m:val="∬"/>
            <m:limLoc m:val="subSup"/>
            <m:ctrlPr>
              <w:rPr>
                <w:rFonts w:cs="Times New Roman"/>
                <w:i/>
                <w:iCs/>
              </w:rPr>
            </m:ctrlPr>
          </m:naryPr>
          <m:sub>
            <m:r>
              <w:rPr>
                <w:rFonts w:eastAsiaTheme="minorEastAsia" w:cs="Times New Roman"/>
              </w:rPr>
              <m:t>Ω</m:t>
            </m:r>
          </m:sub>
          <m:sup>
            <m:r>
              <w:rPr>
                <w:rFonts w:cs="Times New Roman"/>
              </w:rPr>
              <m:t>.</m:t>
            </m:r>
            <m:r>
              <w:rPr>
                <w:rFonts w:eastAsiaTheme="minorEastAsia" w:cs="Times New Roman"/>
              </w:rPr>
              <m:t>..</m:t>
            </m:r>
          </m:sup>
          <m:e>
            <m:r>
              <m:rPr>
                <m:nor/>
              </m:rPr>
              <w:rPr>
                <w:rFonts w:ascii="Times New Roman" w:hAnsi="Times New Roman" w:cs="Times New Roman"/>
                <w:i/>
                <w:iCs/>
              </w:rPr>
              <m:t>H(P(x,y,t)-</m:t>
            </m:r>
            <m:sSub>
              <m:sSubPr>
                <m:ctrlPr>
                  <w:rPr>
                    <w:rFonts w:cs="Times New Roman"/>
                    <w:i/>
                    <w:iCs/>
                  </w:rPr>
                </m:ctrlPr>
              </m:sSubPr>
              <m:e>
                <m:r>
                  <m:rPr>
                    <m:nor/>
                  </m:rPr>
                  <w:rPr>
                    <w:rFonts w:ascii="Times New Roman" w:hAnsi="Times New Roman" w:cs="Times New Roman"/>
                    <w:i/>
                    <w:iCs/>
                  </w:rPr>
                  <m:t>P</m:t>
                </m:r>
              </m:e>
              <m:sub>
                <m:r>
                  <m:rPr>
                    <m:nor/>
                  </m:rPr>
                  <w:rPr>
                    <w:rFonts w:ascii="Times New Roman" w:hAnsi="Times New Roman" w:cs="Times New Roman"/>
                    <w:i/>
                    <w:iCs/>
                  </w:rPr>
                  <m:t>th</m:t>
                </m:r>
              </m:sub>
            </m:sSub>
            <m:r>
              <m:rPr>
                <m:nor/>
              </m:rPr>
              <w:rPr>
                <w:rFonts w:ascii="Times New Roman" w:hAnsi="Times New Roman" w:cs="Times New Roman"/>
                <w:i/>
                <w:iCs/>
              </w:rPr>
              <m:t>) dxdy</m:t>
            </m:r>
          </m:e>
        </m:nary>
      </m:oMath>
      <w:r>
        <w:rPr>
          <w:rFonts w:ascii="Times New Roman" w:eastAsiaTheme="minorEastAsia" w:hAnsi="Times New Roman" w:cs="Times New Roman"/>
          <w:i/>
          <w:iCs/>
        </w:rPr>
        <w:tab/>
      </w:r>
      <w:r>
        <w:rPr>
          <w:rFonts w:ascii="Times New Roman" w:eastAsiaTheme="minorEastAsia" w:hAnsi="Times New Roman" w:cs="Times New Roman"/>
          <w:i/>
          <w:iCs/>
        </w:rPr>
        <w:tab/>
      </w:r>
      <w:r w:rsidR="00E643AD">
        <w:rPr>
          <w:rFonts w:ascii="Times New Roman" w:eastAsiaTheme="minorEastAsia" w:hAnsi="Times New Roman" w:cs="Times New Roman" w:hint="eastAsia"/>
          <w:i/>
          <w:iCs/>
        </w:rPr>
        <w:t xml:space="preserve">       </w:t>
      </w:r>
      <w:r>
        <w:rPr>
          <w:rFonts w:ascii="Times New Roman" w:eastAsiaTheme="minorEastAsia" w:hAnsi="Times New Roman" w:cs="Times New Roman"/>
          <w:i/>
          <w:iCs/>
        </w:rPr>
        <w:tab/>
      </w:r>
      <w:r>
        <w:rPr>
          <w:rFonts w:ascii="Times New Roman" w:eastAsiaTheme="minorEastAsia" w:hAnsi="Times New Roman" w:cs="Times New Roman"/>
          <w:i/>
          <w:iCs/>
        </w:rPr>
        <w:tab/>
      </w:r>
      <w:r w:rsidRPr="009B67A7">
        <w:rPr>
          <w:rFonts w:ascii="Times New Roman" w:eastAsiaTheme="minorEastAsia" w:hAnsi="Times New Roman" w:cs="Times New Roman" w:hint="eastAsia"/>
        </w:rPr>
        <w:t>(</w:t>
      </w:r>
      <w:r w:rsidR="00464EFC">
        <w:rPr>
          <w:rFonts w:ascii="Times New Roman" w:eastAsiaTheme="minorEastAsia" w:hAnsi="Times New Roman" w:cs="Times New Roman" w:hint="eastAsia"/>
        </w:rPr>
        <w:t>S</w:t>
      </w:r>
      <w:r>
        <w:rPr>
          <w:rFonts w:ascii="Times New Roman" w:eastAsiaTheme="minorEastAsia" w:hAnsi="Times New Roman" w:cs="Times New Roman" w:hint="eastAsia"/>
        </w:rPr>
        <w:t>4</w:t>
      </w:r>
      <w:r w:rsidRPr="009B67A7">
        <w:rPr>
          <w:rFonts w:ascii="Times New Roman" w:eastAsiaTheme="minorEastAsia" w:hAnsi="Times New Roman" w:cs="Times New Roman" w:hint="eastAsia"/>
        </w:rPr>
        <w:t>)</w:t>
      </w:r>
    </w:p>
    <w:p w14:paraId="4BFDD4FF" w14:textId="77777777" w:rsidR="00DF4A8C" w:rsidRPr="00DF4A8C" w:rsidRDefault="0092039A" w:rsidP="00581B55">
      <w:pPr>
        <w:pStyle w:val="FirstParagraph"/>
        <w:spacing w:beforeLines="50" w:before="156" w:afterLines="50" w:after="156" w:line="240" w:lineRule="auto"/>
        <w:jc w:val="both"/>
        <w:rPr>
          <w:rFonts w:ascii="Times New Roman" w:hAnsi="Times New Roman" w:cs="Times New Roman"/>
        </w:rPr>
      </w:pPr>
      <w:r w:rsidRPr="00460FC2">
        <w:rPr>
          <w:rFonts w:ascii="Times New Roman" w:hAnsi="Times New Roman" w:cs="Times New Roman"/>
        </w:rPr>
        <w:t xml:space="preserve">where </w:t>
      </w:r>
      <m:oMath>
        <m:r>
          <w:rPr>
            <w:rFonts w:cs="Times New Roman"/>
          </w:rPr>
          <m:t>P</m:t>
        </m:r>
        <m:r>
          <m:rPr>
            <m:sty m:val="p"/>
          </m:rPr>
          <w:rPr>
            <w:rFonts w:cs="Times New Roman"/>
          </w:rPr>
          <m:t>(</m:t>
        </m:r>
        <m:r>
          <w:rPr>
            <w:rFonts w:cs="Times New Roman"/>
          </w:rPr>
          <m:t>x</m:t>
        </m:r>
        <m:r>
          <m:rPr>
            <m:sty m:val="p"/>
          </m:rPr>
          <w:rPr>
            <w:rFonts w:cs="Times New Roman"/>
          </w:rPr>
          <m:t>,</m:t>
        </m:r>
        <m:r>
          <w:rPr>
            <w:rFonts w:cs="Times New Roman"/>
          </w:rPr>
          <m:t>y</m:t>
        </m:r>
        <m:r>
          <m:rPr>
            <m:sty m:val="p"/>
          </m:rPr>
          <w:rPr>
            <w:rFonts w:cs="Times New Roman"/>
          </w:rPr>
          <m:t>,</m:t>
        </m:r>
        <m:r>
          <w:rPr>
            <w:rFonts w:cs="Times New Roman"/>
          </w:rPr>
          <m:t>t</m:t>
        </m:r>
        <m:r>
          <m:rPr>
            <m:sty m:val="p"/>
          </m:rPr>
          <w:rPr>
            <w:rFonts w:cs="Times New Roman"/>
          </w:rPr>
          <m:t>)</m:t>
        </m:r>
      </m:oMath>
      <w:r w:rsidRPr="00460FC2">
        <w:rPr>
          <w:rFonts w:ascii="Times New Roman" w:hAnsi="Times New Roman" w:cs="Times New Roman"/>
        </w:rPr>
        <w:t xml:space="preserve"> is the instantaneous contact pressure and </w:t>
      </w:r>
      <m:oMath>
        <m:sSub>
          <m:sSubPr>
            <m:ctrlPr>
              <w:rPr>
                <w:rFonts w:cs="Times New Roman"/>
              </w:rPr>
            </m:ctrlPr>
          </m:sSubPr>
          <m:e>
            <m:r>
              <w:rPr>
                <w:rFonts w:cs="Times New Roman"/>
              </w:rPr>
              <m:t>P</m:t>
            </m:r>
          </m:e>
          <m:sub>
            <m:r>
              <w:rPr>
                <w:rFonts w:cs="Times New Roman"/>
              </w:rPr>
              <m:t>th</m:t>
            </m:r>
          </m:sub>
        </m:sSub>
      </m:oMath>
      <w:r w:rsidRPr="00460FC2">
        <w:rPr>
          <w:rFonts w:ascii="Times New Roman" w:hAnsi="Times New Roman" w:cs="Times New Roman"/>
        </w:rPr>
        <w:t xml:space="preserve"> is the minimum pressure threshold for effective charge transfer.</w:t>
      </w:r>
    </w:p>
    <w:p w14:paraId="4FCC7C1C" w14:textId="482BDD11" w:rsidR="00DF4A8C" w:rsidRPr="00DF4A8C" w:rsidRDefault="0092039A" w:rsidP="00581B55">
      <w:pPr>
        <w:widowControl/>
        <w:spacing w:beforeLines="50" w:before="156" w:afterLines="50" w:after="156"/>
      </w:pPr>
      <w:r w:rsidRPr="00EF1A32">
        <w:t>For the Non-Auxetic Control:</w:t>
      </w:r>
      <w:r w:rsidR="00EF1A32">
        <w:rPr>
          <w:rFonts w:hint="eastAsia"/>
        </w:rPr>
        <w:t xml:space="preserve"> </w:t>
      </w:r>
      <w:r w:rsidRPr="00460FC2">
        <w:t>Due to the edge lifting derived in Eq. (</w:t>
      </w:r>
      <w:r w:rsidR="00464EFC">
        <w:rPr>
          <w:rFonts w:hint="eastAsia"/>
        </w:rPr>
        <w:t>S</w:t>
      </w:r>
      <w:r w:rsidRPr="00460FC2">
        <w:t xml:space="preserve">2), the contact region is restricted to a narrow central strip. As the bending curvature </w:t>
      </w:r>
      <m:oMath>
        <m:sSub>
          <m:sSubPr>
            <m:ctrlPr>
              <w:rPr>
                <w:rFonts w:ascii="Cambria Math" w:hAnsi="Cambria Math"/>
              </w:rPr>
            </m:ctrlPr>
          </m:sSubPr>
          <m:e>
            <m:r>
              <w:rPr>
                <w:rFonts w:ascii="Cambria Math" w:hAnsi="Cambria Math"/>
              </w:rPr>
              <m:t>κ</m:t>
            </m:r>
          </m:e>
          <m:sub>
            <m:r>
              <w:rPr>
                <w:rFonts w:ascii="Cambria Math" w:hAnsi="Cambria Math"/>
              </w:rPr>
              <m:t>x</m:t>
            </m:r>
          </m:sub>
        </m:sSub>
      </m:oMath>
      <w:r w:rsidRPr="00460FC2">
        <w:t xml:space="preserve"> increases, the effective width </w:t>
      </w:r>
      <m:oMath>
        <m:sSub>
          <m:sSubPr>
            <m:ctrlPr>
              <w:rPr>
                <w:rFonts w:ascii="Cambria Math" w:hAnsi="Cambria Math"/>
              </w:rPr>
            </m:ctrlPr>
          </m:sSubPr>
          <m:e>
            <m:r>
              <w:rPr>
                <w:rFonts w:ascii="Cambria Math" w:hAnsi="Cambria Math"/>
              </w:rPr>
              <m:t>W</m:t>
            </m:r>
          </m:e>
          <m:sub>
            <m:r>
              <w:rPr>
                <w:rFonts w:ascii="Cambria Math" w:hAnsi="Cambria Math"/>
              </w:rPr>
              <m:t>eff</m:t>
            </m:r>
          </m:sub>
        </m:sSub>
      </m:oMath>
      <w:r w:rsidRPr="00460FC2">
        <w:t xml:space="preserve"> decreases:</w:t>
      </w:r>
    </w:p>
    <w:p w14:paraId="72C21204" w14:textId="77777777" w:rsidR="00DF4A8C" w:rsidRPr="00DF4A8C" w:rsidRDefault="00DF4A8C" w:rsidP="00581B55">
      <w:pPr>
        <w:widowControl/>
        <w:spacing w:beforeLines="50" w:before="156" w:afterLines="50" w:after="156"/>
      </w:pPr>
    </w:p>
    <w:p w14:paraId="3F2F8720" w14:textId="53323519" w:rsidR="00DF4A8C" w:rsidRPr="00DF4A8C" w:rsidRDefault="009B67A7" w:rsidP="00E643AD">
      <w:pPr>
        <w:pStyle w:val="a0"/>
        <w:spacing w:beforeLines="50" w:before="156" w:afterLines="50" w:after="156" w:line="240" w:lineRule="auto"/>
        <w:jc w:val="right"/>
        <w:rPr>
          <w:rFonts w:ascii="Times New Roman" w:eastAsiaTheme="minorEastAsia" w:hAnsi="Times New Roman" w:cs="Times New Roman"/>
          <w:iCs/>
        </w:rPr>
      </w:pPr>
      <w:r>
        <w:rPr>
          <w:rFonts w:ascii="Times New Roman" w:eastAsiaTheme="minorEastAsia" w:hAnsi="Times New Roman" w:cs="Times New Roman" w:hint="eastAsia"/>
        </w:rPr>
        <w:t xml:space="preserve">              </w:t>
      </w:r>
      <m:oMath>
        <m:sSub>
          <m:sSubPr>
            <m:ctrlPr/>
          </m:sSubPr>
          <m:e>
            <m:r>
              <m:t>W</m:t>
            </m:r>
          </m:e>
          <m:sub>
            <m:r>
              <m:t>eff</m:t>
            </m:r>
            <m:r>
              <m:rPr>
                <m:sty m:val="p"/>
              </m:rPr>
              <m:t>,</m:t>
            </m:r>
            <m:r>
              <m:t>non</m:t>
            </m:r>
          </m:sub>
        </m:sSub>
        <m:r>
          <m:rPr>
            <m:sty m:val="p"/>
          </m:rPr>
          <m:t>≈</m:t>
        </m:r>
        <m:sSub>
          <m:sSubPr>
            <m:ctrlPr/>
          </m:sSubPr>
          <m:e>
            <m:r>
              <m:t>W</m:t>
            </m:r>
          </m:e>
          <m:sub>
            <m:r>
              <m:rPr>
                <m:sty m:val="p"/>
              </m:rPr>
              <m:t>0</m:t>
            </m:r>
          </m:sub>
        </m:sSub>
        <m:r>
          <m:rPr>
            <m:sty m:val="p"/>
          </m:rPr>
          <m:t>⋅(1-</m:t>
        </m:r>
        <m:r>
          <m:t>β</m:t>
        </m:r>
        <m:r>
          <m:rPr>
            <m:sty m:val="p"/>
          </m:rPr>
          <m:t>⋅</m:t>
        </m:r>
        <m:sSub>
          <m:sSubPr>
            <m:ctrlPr/>
          </m:sSubPr>
          <m:e>
            <m:r>
              <m:t>ν</m:t>
            </m:r>
          </m:e>
          <m:sub>
            <m:r>
              <m:t>pos</m:t>
            </m:r>
          </m:sub>
        </m:sSub>
        <m:r>
          <m:rPr>
            <m:sty m:val="p"/>
          </m:rPr>
          <m:t>⋅</m:t>
        </m:r>
        <m:sSub>
          <m:sSubPr>
            <m:ctrlPr/>
          </m:sSubPr>
          <m:e>
            <m:r>
              <m:t>κ</m:t>
            </m:r>
          </m:e>
          <m:sub>
            <m:r>
              <m:t>x</m:t>
            </m:r>
          </m:sub>
        </m:sSub>
        <m:r>
          <m:rPr>
            <m:sty m:val="p"/>
          </m:rPr>
          <m:t>)</m:t>
        </m:r>
      </m:oMath>
      <w:r w:rsidRPr="009B67A7">
        <w:rPr>
          <w:i/>
          <w:iCs/>
        </w:rPr>
        <w:t xml:space="preserve"> </w:t>
      </w:r>
      <w:r>
        <w:rPr>
          <w:rFonts w:ascii="Times New Roman" w:eastAsiaTheme="minorEastAsia" w:hAnsi="Times New Roman" w:cs="Times New Roman"/>
          <w:i/>
          <w:iCs/>
        </w:rPr>
        <w:tab/>
      </w:r>
      <w:r>
        <w:rPr>
          <w:rFonts w:ascii="Times New Roman" w:eastAsiaTheme="minorEastAsia" w:hAnsi="Times New Roman" w:cs="Times New Roman"/>
          <w:i/>
          <w:iCs/>
        </w:rPr>
        <w:tab/>
      </w:r>
      <w:r>
        <w:rPr>
          <w:rFonts w:ascii="Times New Roman" w:eastAsiaTheme="minorEastAsia" w:hAnsi="Times New Roman" w:cs="Times New Roman"/>
          <w:i/>
          <w:iCs/>
        </w:rPr>
        <w:tab/>
      </w:r>
      <w:r>
        <w:rPr>
          <w:rFonts w:ascii="Times New Roman" w:eastAsiaTheme="minorEastAsia" w:hAnsi="Times New Roman" w:cs="Times New Roman"/>
          <w:i/>
          <w:iCs/>
        </w:rPr>
        <w:tab/>
      </w:r>
      <w:r w:rsidRPr="009B67A7">
        <w:rPr>
          <w:rFonts w:ascii="Times New Roman" w:eastAsiaTheme="minorEastAsia" w:hAnsi="Times New Roman" w:cs="Times New Roman" w:hint="eastAsia"/>
        </w:rPr>
        <w:t>(</w:t>
      </w:r>
      <w:r w:rsidR="00464EFC">
        <w:rPr>
          <w:rFonts w:ascii="Times New Roman" w:eastAsiaTheme="minorEastAsia" w:hAnsi="Times New Roman" w:cs="Times New Roman" w:hint="eastAsia"/>
        </w:rPr>
        <w:t>S</w:t>
      </w:r>
      <w:r>
        <w:rPr>
          <w:rFonts w:ascii="Times New Roman" w:eastAsiaTheme="minorEastAsia" w:hAnsi="Times New Roman" w:cs="Times New Roman" w:hint="eastAsia"/>
        </w:rPr>
        <w:t>5</w:t>
      </w:r>
      <w:r w:rsidRPr="009B67A7">
        <w:rPr>
          <w:rFonts w:ascii="Times New Roman" w:eastAsiaTheme="minorEastAsia" w:hAnsi="Times New Roman" w:cs="Times New Roman" w:hint="eastAsia"/>
        </w:rPr>
        <w:t>)</w:t>
      </w:r>
    </w:p>
    <w:p w14:paraId="7C9CA468" w14:textId="77777777" w:rsidR="00DF4A8C" w:rsidRPr="00DF4A8C" w:rsidRDefault="0092039A" w:rsidP="00581B55">
      <w:pPr>
        <w:pStyle w:val="af7"/>
        <w:spacing w:beforeLines="50" w:before="156" w:afterLines="50" w:after="156" w:line="240" w:lineRule="auto"/>
      </w:pPr>
      <w:r w:rsidRPr="00460FC2">
        <w:t xml:space="preserve">where </w:t>
      </w:r>
      <m:oMath>
        <m:r>
          <w:rPr>
            <w:rFonts w:ascii="Cambria Math" w:hAnsi="Cambria Math"/>
          </w:rPr>
          <m:t>β</m:t>
        </m:r>
      </m:oMath>
      <w:r w:rsidRPr="00460FC2">
        <w:t xml:space="preserve"> is a geometric factor. Thus, </w:t>
      </w:r>
      <m:oMath>
        <m:sSub>
          <m:sSubPr>
            <m:ctrlPr>
              <w:rPr>
                <w:rFonts w:ascii="Cambria Math" w:hAnsi="Cambria Math"/>
              </w:rPr>
            </m:ctrlPr>
          </m:sSubPr>
          <m:e>
            <m:r>
              <w:rPr>
                <w:rFonts w:ascii="Cambria Math" w:hAnsi="Cambria Math"/>
              </w:rPr>
              <m:t>S</m:t>
            </m:r>
          </m:e>
          <m:sub>
            <m:r>
              <w:rPr>
                <w:rFonts w:ascii="Cambria Math" w:hAnsi="Cambria Math"/>
              </w:rPr>
              <m:t>eff</m:t>
            </m:r>
          </m:sub>
        </m:sSub>
      </m:oMath>
      <w:r w:rsidRPr="00460FC2">
        <w:t xml:space="preserve"> decays rapidly during bending.</w:t>
      </w:r>
    </w:p>
    <w:p w14:paraId="089E72EC" w14:textId="77777777" w:rsidR="00DF4A8C" w:rsidRPr="00DF4A8C" w:rsidRDefault="0092039A" w:rsidP="00581B55">
      <w:pPr>
        <w:widowControl/>
        <w:spacing w:beforeLines="50" w:before="156" w:afterLines="50" w:after="156"/>
      </w:pPr>
      <w:r w:rsidRPr="00EF1A32">
        <w:t>For the Auxetic-TENG:</w:t>
      </w:r>
      <w:r w:rsidR="00EF1A32">
        <w:rPr>
          <w:rFonts w:hint="eastAsia"/>
        </w:rPr>
        <w:t xml:space="preserve"> </w:t>
      </w:r>
      <w:r w:rsidRPr="00460FC2">
        <w:t>The lateral expansion (</w:t>
      </w:r>
      <m:oMath>
        <m:r>
          <m:rPr>
            <m:sty m:val="p"/>
          </m:rPr>
          <w:rPr>
            <w:rFonts w:ascii="Cambria Math" w:hAnsi="Cambria Math"/>
          </w:rPr>
          <m:t>Δ</m:t>
        </m:r>
        <m:r>
          <w:rPr>
            <w:rFonts w:ascii="Cambria Math" w:hAnsi="Cambria Math"/>
          </w:rPr>
          <m:t>W</m:t>
        </m:r>
        <m:r>
          <m:rPr>
            <m:sty m:val="p"/>
          </m:rPr>
          <w:rPr>
            <w:rFonts w:ascii="Cambria Math" w:hAnsi="Cambria Math"/>
          </w:rPr>
          <m:t>&gt;</m:t>
        </m:r>
        <m:r>
          <w:rPr>
            <w:rFonts w:ascii="Cambria Math" w:hAnsi="Cambria Math"/>
          </w:rPr>
          <m:t>0</m:t>
        </m:r>
      </m:oMath>
      <w:r w:rsidRPr="00460FC2">
        <w:t>) inherently induced by the negative Poisson’s ratio counteracts the area reduction. The effective width evolves as:</w:t>
      </w:r>
    </w:p>
    <w:p w14:paraId="6D8B16CB" w14:textId="2AC74295" w:rsidR="00DF4A8C" w:rsidRPr="00DF4A8C" w:rsidRDefault="00EA105E" w:rsidP="00E643AD">
      <w:pPr>
        <w:pStyle w:val="a0"/>
        <w:spacing w:beforeLines="50" w:before="156" w:afterLines="50" w:after="156" w:line="240" w:lineRule="auto"/>
        <w:jc w:val="right"/>
        <w:rPr>
          <w:rFonts w:ascii="Times New Roman" w:hAnsi="Times New Roman" w:cs="Times New Roman"/>
        </w:rPr>
      </w:pPr>
      <w:r>
        <w:rPr>
          <w:rFonts w:ascii="Times New Roman" w:eastAsiaTheme="minorEastAsia" w:hAnsi="Times New Roman" w:cs="Times New Roman" w:hint="eastAsia"/>
        </w:rPr>
        <w:t xml:space="preserve">             </w:t>
      </w:r>
      <m:oMath>
        <m:sSub>
          <m:sSubPr>
            <m:ctrlPr>
              <w:rPr>
                <w:rFonts w:cs="Times New Roman"/>
              </w:rPr>
            </m:ctrlPr>
          </m:sSubPr>
          <m:e>
            <m:r>
              <w:rPr>
                <w:rFonts w:cs="Times New Roman"/>
              </w:rPr>
              <m:t>W</m:t>
            </m:r>
          </m:e>
          <m:sub>
            <m:r>
              <w:rPr>
                <w:rFonts w:cs="Times New Roman"/>
              </w:rPr>
              <m:t>eff</m:t>
            </m:r>
            <m:r>
              <m:rPr>
                <m:sty m:val="p"/>
              </m:rPr>
              <w:rPr>
                <w:rFonts w:cs="Times New Roman"/>
              </w:rPr>
              <m:t>,</m:t>
            </m:r>
            <m:r>
              <w:rPr>
                <w:rFonts w:cs="Times New Roman"/>
              </w:rPr>
              <m:t>aux</m:t>
            </m:r>
          </m:sub>
        </m:sSub>
        <m:r>
          <m:rPr>
            <m:sty m:val="p"/>
          </m:rPr>
          <w:rPr>
            <w:rFonts w:cs="Times New Roman"/>
          </w:rPr>
          <m:t>≈</m:t>
        </m:r>
        <m:sSub>
          <m:sSubPr>
            <m:ctrlPr>
              <w:rPr>
                <w:rFonts w:cs="Times New Roman"/>
              </w:rPr>
            </m:ctrlPr>
          </m:sSubPr>
          <m:e>
            <m:r>
              <w:rPr>
                <w:rFonts w:cs="Times New Roman"/>
              </w:rPr>
              <m:t>W</m:t>
            </m:r>
          </m:e>
          <m:sub>
            <m:r>
              <w:rPr>
                <w:rFonts w:cs="Times New Roman"/>
              </w:rPr>
              <m:t>0</m:t>
            </m:r>
          </m:sub>
        </m:sSub>
        <m:r>
          <m:rPr>
            <m:sty m:val="p"/>
          </m:rPr>
          <w:rPr>
            <w:rFonts w:cs="Times New Roman"/>
          </w:rPr>
          <m:t>⋅(</m:t>
        </m:r>
        <m:r>
          <w:rPr>
            <w:rFonts w:cs="Times New Roman"/>
          </w:rPr>
          <m:t>1</m:t>
        </m:r>
        <m:r>
          <m:rPr>
            <m:sty m:val="p"/>
          </m:rPr>
          <w:rPr>
            <w:rFonts w:cs="Times New Roman"/>
          </w:rPr>
          <m:t>+|</m:t>
        </m:r>
        <m:sSub>
          <m:sSubPr>
            <m:ctrlPr>
              <w:rPr>
                <w:rFonts w:cs="Times New Roman"/>
              </w:rPr>
            </m:ctrlPr>
          </m:sSubPr>
          <m:e>
            <m:r>
              <w:rPr>
                <w:rFonts w:cs="Times New Roman"/>
              </w:rPr>
              <m:t>ν</m:t>
            </m:r>
          </m:e>
          <m:sub>
            <m:r>
              <w:rPr>
                <w:rFonts w:cs="Times New Roman"/>
              </w:rPr>
              <m:t>neg</m:t>
            </m:r>
          </m:sub>
        </m:sSub>
        <m:r>
          <m:rPr>
            <m:sty m:val="p"/>
          </m:rPr>
          <w:rPr>
            <w:rFonts w:cs="Times New Roman"/>
          </w:rPr>
          <m:t>|⋅</m:t>
        </m:r>
        <m:sSub>
          <m:sSubPr>
            <m:ctrlPr>
              <w:rPr>
                <w:rFonts w:cs="Times New Roman"/>
              </w:rPr>
            </m:ctrlPr>
          </m:sSubPr>
          <m:e>
            <m:r>
              <w:rPr>
                <w:rFonts w:cs="Times New Roman"/>
              </w:rPr>
              <m:t>ε</m:t>
            </m:r>
          </m:e>
          <m:sub>
            <m:r>
              <w:rPr>
                <w:rFonts w:cs="Times New Roman"/>
              </w:rPr>
              <m:t>axial</m:t>
            </m:r>
          </m:sub>
        </m:sSub>
        <m:r>
          <m:rPr>
            <m:sty m:val="p"/>
          </m:rPr>
          <w:rPr>
            <w:rFonts w:cs="Times New Roman"/>
          </w:rPr>
          <m:t>)</m:t>
        </m:r>
      </m:oMath>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hint="eastAsia"/>
        </w:rPr>
        <w:t>(</w:t>
      </w:r>
      <w:r w:rsidR="00464EFC">
        <w:rPr>
          <w:rFonts w:ascii="Times New Roman" w:eastAsiaTheme="minorEastAsia" w:hAnsi="Times New Roman" w:cs="Times New Roman" w:hint="eastAsia"/>
        </w:rPr>
        <w:t>S</w:t>
      </w:r>
      <w:r>
        <w:rPr>
          <w:rFonts w:ascii="Times New Roman" w:eastAsiaTheme="minorEastAsia" w:hAnsi="Times New Roman" w:cs="Times New Roman" w:hint="eastAsia"/>
        </w:rPr>
        <w:t>6)</w:t>
      </w:r>
    </w:p>
    <w:p w14:paraId="027FF82D" w14:textId="4D2CFE8F" w:rsidR="00DF4A8C" w:rsidRPr="00DF4A8C" w:rsidRDefault="0092039A" w:rsidP="00581B55">
      <w:pPr>
        <w:pStyle w:val="a0"/>
        <w:spacing w:beforeLines="50" w:before="156" w:afterLines="50" w:after="156" w:line="240" w:lineRule="auto"/>
        <w:jc w:val="both"/>
        <w:rPr>
          <w:rFonts w:ascii="Times New Roman" w:eastAsiaTheme="minorEastAsia" w:hAnsi="Times New Roman" w:cs="Times New Roman"/>
        </w:rPr>
      </w:pPr>
      <w:r w:rsidRPr="00460FC2">
        <w:rPr>
          <w:rFonts w:ascii="Times New Roman" w:hAnsi="Times New Roman" w:cs="Times New Roman"/>
        </w:rPr>
        <w:t>Consequently, the effective contact area not only maintains its stability but actually</w:t>
      </w:r>
      <w:r w:rsidR="00464EFC">
        <w:rPr>
          <w:rFonts w:ascii="Times New Roman" w:eastAsiaTheme="minorEastAsia" w:hAnsi="Times New Roman" w:cs="Times New Roman" w:hint="eastAsia"/>
        </w:rPr>
        <w:t xml:space="preserve"> </w:t>
      </w:r>
      <w:r w:rsidRPr="00460FC2">
        <w:rPr>
          <w:rFonts w:ascii="Times New Roman" w:hAnsi="Times New Roman" w:cs="Times New Roman"/>
        </w:rPr>
        <w:t>increase under tensile bending:</w:t>
      </w:r>
    </w:p>
    <w:p w14:paraId="4BC25EC4" w14:textId="605B4089" w:rsidR="00DF4A8C" w:rsidRPr="00DF4A8C" w:rsidRDefault="00EA105E" w:rsidP="00E643AD">
      <w:pPr>
        <w:pStyle w:val="a0"/>
        <w:spacing w:beforeLines="50" w:before="156" w:afterLines="50" w:after="156" w:line="240" w:lineRule="auto"/>
        <w:jc w:val="right"/>
        <w:rPr>
          <w:rFonts w:ascii="Times New Roman" w:hAnsi="Times New Roman" w:cs="Times New Roman"/>
        </w:rPr>
      </w:pPr>
      <w:r>
        <w:rPr>
          <w:rFonts w:ascii="Times New Roman" w:eastAsiaTheme="minorEastAsia" w:hAnsi="Times New Roman" w:cs="Times New Roman" w:hint="eastAsia"/>
        </w:rPr>
        <w:t xml:space="preserve">             </w:t>
      </w:r>
      <m:oMath>
        <m:sSub>
          <m:sSubPr>
            <m:ctrlPr>
              <w:rPr>
                <w:rFonts w:cs="Times New Roman"/>
              </w:rPr>
            </m:ctrlPr>
          </m:sSubPr>
          <m:e>
            <m:r>
              <w:rPr>
                <w:rFonts w:cs="Times New Roman"/>
              </w:rPr>
              <m:t>S</m:t>
            </m:r>
          </m:e>
          <m:sub>
            <m:r>
              <w:rPr>
                <w:rFonts w:cs="Times New Roman"/>
              </w:rPr>
              <m:t>eff</m:t>
            </m:r>
            <m:r>
              <m:rPr>
                <m:sty m:val="p"/>
              </m:rPr>
              <w:rPr>
                <w:rFonts w:cs="Times New Roman"/>
              </w:rPr>
              <m:t>,</m:t>
            </m:r>
            <m:r>
              <w:rPr>
                <w:rFonts w:cs="Times New Roman"/>
              </w:rPr>
              <m:t>aux</m:t>
            </m:r>
          </m:sub>
        </m:sSub>
        <m:r>
          <m:rPr>
            <m:sty m:val="p"/>
          </m:rPr>
          <w:rPr>
            <w:rFonts w:cs="Times New Roman"/>
          </w:rPr>
          <m:t>(</m:t>
        </m:r>
        <m:r>
          <w:rPr>
            <w:rFonts w:cs="Times New Roman"/>
          </w:rPr>
          <m:t>t</m:t>
        </m:r>
        <m:r>
          <m:rPr>
            <m:sty m:val="p"/>
          </m:rPr>
          <w:rPr>
            <w:rFonts w:cs="Times New Roman"/>
          </w:rPr>
          <m:t>)≥</m:t>
        </m:r>
        <m:sSub>
          <m:sSubPr>
            <m:ctrlPr>
              <w:rPr>
                <w:rFonts w:cs="Times New Roman"/>
              </w:rPr>
            </m:ctrlPr>
          </m:sSubPr>
          <m:e>
            <m:r>
              <w:rPr>
                <w:rFonts w:cs="Times New Roman"/>
              </w:rPr>
              <m:t>S</m:t>
            </m:r>
          </m:e>
          <m:sub>
            <m:r>
              <w:rPr>
                <w:rFonts w:cs="Times New Roman"/>
              </w:rPr>
              <m:t>0</m:t>
            </m:r>
          </m:sub>
        </m:sSub>
      </m:oMath>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hint="eastAsia"/>
        </w:rPr>
        <w:t>(</w:t>
      </w:r>
      <w:r w:rsidR="00464EFC">
        <w:rPr>
          <w:rFonts w:ascii="Times New Roman" w:eastAsiaTheme="minorEastAsia" w:hAnsi="Times New Roman" w:cs="Times New Roman" w:hint="eastAsia"/>
        </w:rPr>
        <w:t>S</w:t>
      </w:r>
      <w:r>
        <w:rPr>
          <w:rFonts w:ascii="Times New Roman" w:eastAsiaTheme="minorEastAsia" w:hAnsi="Times New Roman" w:cs="Times New Roman" w:hint="eastAsia"/>
        </w:rPr>
        <w:t>7)</w:t>
      </w:r>
    </w:p>
    <w:p w14:paraId="5D553035" w14:textId="77777777" w:rsidR="00DF4A8C" w:rsidRPr="00DF4A8C" w:rsidRDefault="0092039A" w:rsidP="00581B55">
      <w:pPr>
        <w:pStyle w:val="a0"/>
        <w:spacing w:beforeLines="50" w:before="156" w:afterLines="50" w:after="156" w:line="240" w:lineRule="auto"/>
        <w:jc w:val="both"/>
        <w:rPr>
          <w:rFonts w:ascii="Times New Roman" w:hAnsi="Times New Roman" w:cs="Times New Roman"/>
        </w:rPr>
      </w:pPr>
      <w:r w:rsidRPr="00460FC2">
        <w:rPr>
          <w:rFonts w:ascii="Times New Roman" w:hAnsi="Times New Roman" w:cs="Times New Roman"/>
        </w:rPr>
        <w:t>This derivation theoretically confirms the experimental observation that auxetic structures prevent signal degradation under large deformations.</w:t>
      </w:r>
    </w:p>
    <w:p w14:paraId="08D5A28F" w14:textId="77777777" w:rsidR="00DF4A8C" w:rsidRPr="00DF4A8C" w:rsidRDefault="0092039A" w:rsidP="00581B55">
      <w:pPr>
        <w:pStyle w:val="4"/>
        <w:spacing w:beforeLines="50" w:before="156" w:afterLines="50" w:after="156" w:line="240" w:lineRule="auto"/>
        <w:jc w:val="both"/>
        <w:rPr>
          <w:rFonts w:ascii="Times New Roman" w:hAnsi="Times New Roman" w:cs="Times New Roman"/>
          <w:bCs w:val="0"/>
        </w:rPr>
      </w:pPr>
      <w:bookmarkStart w:id="6" w:name="Xb8ab8db1097ac7a4f6c6d6550bd3727f5cd9d95"/>
      <w:bookmarkEnd w:id="5"/>
      <w:r w:rsidRPr="00A26389">
        <w:rPr>
          <w:rFonts w:ascii="Times New Roman" w:hAnsi="Times New Roman" w:cs="Times New Roman"/>
          <w:bCs w:val="0"/>
        </w:rPr>
        <w:t>3. Enhancement of Electrical Output and Current Density</w:t>
      </w:r>
    </w:p>
    <w:p w14:paraId="1048F90C" w14:textId="77777777" w:rsidR="00DF4A8C" w:rsidRPr="00DF4A8C" w:rsidRDefault="0092039A" w:rsidP="00581B55">
      <w:pPr>
        <w:pStyle w:val="FirstParagraph"/>
        <w:spacing w:beforeLines="50" w:before="156" w:afterLines="50" w:after="156" w:line="240" w:lineRule="auto"/>
        <w:ind w:firstLineChars="0" w:firstLine="0"/>
        <w:jc w:val="both"/>
        <w:rPr>
          <w:rFonts w:ascii="Times New Roman" w:hAnsi="Times New Roman" w:cs="Times New Roman"/>
        </w:rPr>
      </w:pPr>
      <w:r w:rsidRPr="00460FC2">
        <w:rPr>
          <w:rFonts w:ascii="Times New Roman" w:hAnsi="Times New Roman" w:cs="Times New Roman"/>
        </w:rPr>
        <w:t>Based on the variable capacitance model of TENG, the short-circuit current (</w:t>
      </w:r>
      <m:oMath>
        <m:sSub>
          <m:sSubPr>
            <m:ctrlPr>
              <w:rPr>
                <w:rFonts w:cs="Times New Roman"/>
              </w:rPr>
            </m:ctrlPr>
          </m:sSubPr>
          <m:e>
            <m:r>
              <w:rPr>
                <w:rFonts w:cs="Times New Roman"/>
              </w:rPr>
              <m:t>I</m:t>
            </m:r>
          </m:e>
          <m:sub>
            <m:r>
              <w:rPr>
                <w:rFonts w:cs="Times New Roman"/>
              </w:rPr>
              <m:t>sc</m:t>
            </m:r>
          </m:sub>
        </m:sSub>
      </m:oMath>
      <w:r w:rsidRPr="00460FC2">
        <w:rPr>
          <w:rFonts w:ascii="Times New Roman" w:hAnsi="Times New Roman" w:cs="Times New Roman"/>
        </w:rPr>
        <w:t>) is defined as the rate of charge flow:</w:t>
      </w:r>
    </w:p>
    <w:p w14:paraId="04C21A8F" w14:textId="1D074AE5" w:rsidR="00DF4A8C" w:rsidRPr="00DF4A8C" w:rsidRDefault="00EA105E" w:rsidP="00E643AD">
      <w:pPr>
        <w:pStyle w:val="a0"/>
        <w:spacing w:beforeLines="50" w:before="156" w:afterLines="50" w:after="156" w:line="240" w:lineRule="auto"/>
        <w:jc w:val="right"/>
        <w:rPr>
          <w:rFonts w:ascii="Times New Roman" w:eastAsiaTheme="minorEastAsia" w:hAnsi="Times New Roman" w:cs="Times New Roman"/>
        </w:rPr>
      </w:pPr>
      <w:r>
        <w:rPr>
          <w:rFonts w:ascii="Times New Roman" w:eastAsiaTheme="minorEastAsia" w:hAnsi="Times New Roman" w:cs="Times New Roman" w:hint="eastAsia"/>
        </w:rPr>
        <w:t xml:space="preserve">           </w:t>
      </w:r>
      <m:oMath>
        <m:r>
          <w:rPr>
            <w:rFonts w:cs="Times New Roman"/>
          </w:rPr>
          <m:t xml:space="preserve"> </m:t>
        </m:r>
        <m:r>
          <w:rPr>
            <w:rFonts w:eastAsiaTheme="minorEastAsia" w:cs="Times New Roman"/>
          </w:rPr>
          <m:t xml:space="preserve"> </m:t>
        </m:r>
        <m:sSub>
          <m:sSubPr>
            <m:ctrlPr>
              <w:rPr>
                <w:rFonts w:cs="Times New Roman"/>
              </w:rPr>
            </m:ctrlPr>
          </m:sSubPr>
          <m:e>
            <m:r>
              <w:rPr>
                <w:rFonts w:cs="Times New Roman"/>
              </w:rPr>
              <m:t>I</m:t>
            </m:r>
          </m:e>
          <m:sub>
            <m:r>
              <w:rPr>
                <w:rFonts w:cs="Times New Roman"/>
              </w:rPr>
              <m:t>sc</m:t>
            </m:r>
          </m:sub>
        </m:sSub>
        <m:r>
          <m:rPr>
            <m:sty m:val="p"/>
          </m:rPr>
          <w:rPr>
            <w:rFonts w:cs="Times New Roman"/>
          </w:rPr>
          <m:t>(</m:t>
        </m:r>
        <m:r>
          <w:rPr>
            <w:rFonts w:cs="Times New Roman"/>
          </w:rPr>
          <m:t>t</m:t>
        </m:r>
        <m:r>
          <m:rPr>
            <m:sty m:val="p"/>
          </m:rPr>
          <w:rPr>
            <w:rFonts w:cs="Times New Roman"/>
          </w:rPr>
          <m:t>)=</m:t>
        </m:r>
        <m:f>
          <m:fPr>
            <m:ctrlPr>
              <w:rPr>
                <w:rFonts w:cs="Times New Roman"/>
              </w:rPr>
            </m:ctrlPr>
          </m:fPr>
          <m:num>
            <m:r>
              <w:rPr>
                <w:rFonts w:cs="Times New Roman"/>
              </w:rPr>
              <m:t>dQ</m:t>
            </m:r>
          </m:num>
          <m:den>
            <m:r>
              <w:rPr>
                <w:rFonts w:cs="Times New Roman"/>
              </w:rPr>
              <m:t>dt</m:t>
            </m:r>
          </m:den>
        </m:f>
        <m:r>
          <m:rPr>
            <m:sty m:val="p"/>
          </m:rPr>
          <w:rPr>
            <w:rFonts w:cs="Times New Roman"/>
          </w:rPr>
          <m:t>=</m:t>
        </m:r>
        <m:f>
          <m:fPr>
            <m:ctrlPr>
              <w:rPr>
                <w:rFonts w:cs="Times New Roman"/>
              </w:rPr>
            </m:ctrlPr>
          </m:fPr>
          <m:num>
            <m:r>
              <w:rPr>
                <w:rFonts w:cs="Times New Roman"/>
              </w:rPr>
              <m:t>d</m:t>
            </m:r>
            <m:r>
              <m:rPr>
                <m:sty m:val="p"/>
              </m:rPr>
              <w:rPr>
                <w:rFonts w:cs="Times New Roman"/>
              </w:rPr>
              <m:t>(</m:t>
            </m:r>
            <m:r>
              <w:rPr>
                <w:rFonts w:cs="Times New Roman"/>
              </w:rPr>
              <m:t>σ</m:t>
            </m:r>
            <m:r>
              <m:rPr>
                <m:sty m:val="p"/>
              </m:rPr>
              <w:rPr>
                <w:rFonts w:cs="Times New Roman"/>
              </w:rPr>
              <m:t>⋅</m:t>
            </m:r>
            <m:sSub>
              <m:sSubPr>
                <m:ctrlPr>
                  <w:rPr>
                    <w:rFonts w:cs="Times New Roman"/>
                  </w:rPr>
                </m:ctrlPr>
              </m:sSubPr>
              <m:e>
                <m:r>
                  <w:rPr>
                    <w:rFonts w:cs="Times New Roman"/>
                  </w:rPr>
                  <m:t>S</m:t>
                </m:r>
              </m:e>
              <m:sub>
                <m:r>
                  <w:rPr>
                    <w:rFonts w:cs="Times New Roman"/>
                  </w:rPr>
                  <m:t>eff</m:t>
                </m:r>
              </m:sub>
            </m:sSub>
            <m:r>
              <m:rPr>
                <m:sty m:val="p"/>
              </m:rPr>
              <w:rPr>
                <w:rFonts w:cs="Times New Roman"/>
              </w:rPr>
              <m:t>(</m:t>
            </m:r>
            <m:r>
              <w:rPr>
                <w:rFonts w:cs="Times New Roman"/>
              </w:rPr>
              <m:t>t</m:t>
            </m:r>
            <m:r>
              <m:rPr>
                <m:sty m:val="p"/>
              </m:rPr>
              <w:rPr>
                <w:rFonts w:cs="Times New Roman"/>
              </w:rPr>
              <m:t>))</m:t>
            </m:r>
          </m:num>
          <m:den>
            <m:r>
              <w:rPr>
                <w:rFonts w:cs="Times New Roman"/>
              </w:rPr>
              <m:t>dt</m:t>
            </m:r>
          </m:den>
        </m:f>
      </m:oMath>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hint="eastAsia"/>
        </w:rPr>
        <w:t>(</w:t>
      </w:r>
      <w:r w:rsidR="00464EFC">
        <w:rPr>
          <w:rFonts w:ascii="Times New Roman" w:eastAsiaTheme="minorEastAsia" w:hAnsi="Times New Roman" w:cs="Times New Roman" w:hint="eastAsia"/>
        </w:rPr>
        <w:t>S</w:t>
      </w:r>
      <w:r>
        <w:rPr>
          <w:rFonts w:ascii="Times New Roman" w:eastAsiaTheme="minorEastAsia" w:hAnsi="Times New Roman" w:cs="Times New Roman" w:hint="eastAsia"/>
        </w:rPr>
        <w:t>8)</w:t>
      </w:r>
    </w:p>
    <w:p w14:paraId="765AD5C4" w14:textId="77777777" w:rsidR="00DF4A8C" w:rsidRPr="00DF4A8C" w:rsidRDefault="0092039A" w:rsidP="00581B55">
      <w:pPr>
        <w:pStyle w:val="FirstParagraph"/>
        <w:spacing w:beforeLines="50" w:before="156" w:afterLines="50" w:after="156" w:line="240" w:lineRule="auto"/>
        <w:ind w:firstLineChars="0" w:firstLine="0"/>
        <w:jc w:val="both"/>
        <w:rPr>
          <w:rFonts w:ascii="Times New Roman" w:hAnsi="Times New Roman" w:cs="Times New Roman"/>
        </w:rPr>
      </w:pPr>
      <w:r w:rsidRPr="00460FC2">
        <w:rPr>
          <w:rFonts w:ascii="Times New Roman" w:hAnsi="Times New Roman" w:cs="Times New Roman"/>
        </w:rPr>
        <w:t>Expanding the derivative using the chain rule:</w:t>
      </w:r>
    </w:p>
    <w:p w14:paraId="2C6F190C" w14:textId="3BD0EDC9" w:rsidR="00DF4A8C" w:rsidRPr="00DF4A8C" w:rsidRDefault="00EA105E" w:rsidP="00E643AD">
      <w:pPr>
        <w:pStyle w:val="a0"/>
        <w:spacing w:beforeLines="50" w:before="156" w:afterLines="50" w:after="156" w:line="240" w:lineRule="auto"/>
        <w:jc w:val="right"/>
        <w:rPr>
          <w:rFonts w:ascii="Times New Roman" w:hAnsi="Times New Roman" w:cs="Times New Roman"/>
        </w:rPr>
      </w:pPr>
      <w:r>
        <w:rPr>
          <w:rFonts w:ascii="Times New Roman" w:eastAsiaTheme="minorEastAsia" w:hAnsi="Times New Roman" w:cs="Times New Roman" w:hint="eastAsia"/>
        </w:rPr>
        <w:t xml:space="preserve">           </w:t>
      </w:r>
      <m:oMath>
        <m:sSub>
          <m:sSubPr>
            <m:ctrlPr>
              <w:rPr>
                <w:rFonts w:cs="Times New Roman"/>
              </w:rPr>
            </m:ctrlPr>
          </m:sSubPr>
          <m:e>
            <m:r>
              <w:rPr>
                <w:rFonts w:cs="Times New Roman"/>
              </w:rPr>
              <m:t>I</m:t>
            </m:r>
          </m:e>
          <m:sub>
            <m:r>
              <w:rPr>
                <w:rFonts w:cs="Times New Roman"/>
              </w:rPr>
              <m:t>sc</m:t>
            </m:r>
          </m:sub>
        </m:sSub>
        <m:r>
          <m:rPr>
            <m:sty m:val="p"/>
          </m:rPr>
          <w:rPr>
            <w:rFonts w:cs="Times New Roman"/>
          </w:rPr>
          <m:t>(</m:t>
        </m:r>
        <m:r>
          <w:rPr>
            <w:rFonts w:cs="Times New Roman"/>
          </w:rPr>
          <m:t>t</m:t>
        </m:r>
        <m:r>
          <m:rPr>
            <m:sty m:val="p"/>
          </m:rPr>
          <w:rPr>
            <w:rFonts w:cs="Times New Roman"/>
          </w:rPr>
          <m:t>)=</m:t>
        </m:r>
        <m:r>
          <w:rPr>
            <w:rFonts w:cs="Times New Roman"/>
          </w:rPr>
          <m:t>σ</m:t>
        </m:r>
        <m:f>
          <m:fPr>
            <m:ctrlPr>
              <w:rPr>
                <w:rFonts w:cs="Times New Roman"/>
              </w:rPr>
            </m:ctrlPr>
          </m:fPr>
          <m:num>
            <m:r>
              <w:rPr>
                <w:rFonts w:cs="Times New Roman"/>
              </w:rPr>
              <m:t>d</m:t>
            </m:r>
            <m:sSub>
              <m:sSubPr>
                <m:ctrlPr>
                  <w:rPr>
                    <w:rFonts w:cs="Times New Roman"/>
                  </w:rPr>
                </m:ctrlPr>
              </m:sSubPr>
              <m:e>
                <m:r>
                  <w:rPr>
                    <w:rFonts w:cs="Times New Roman"/>
                  </w:rPr>
                  <m:t>S</m:t>
                </m:r>
              </m:e>
              <m:sub>
                <m:r>
                  <w:rPr>
                    <w:rFonts w:cs="Times New Roman"/>
                  </w:rPr>
                  <m:t>eff</m:t>
                </m:r>
              </m:sub>
            </m:sSub>
            <m:r>
              <m:rPr>
                <m:sty m:val="p"/>
              </m:rPr>
              <w:rPr>
                <w:rFonts w:cs="Times New Roman"/>
              </w:rPr>
              <m:t>(</m:t>
            </m:r>
            <m:r>
              <w:rPr>
                <w:rFonts w:cs="Times New Roman"/>
              </w:rPr>
              <m:t>t</m:t>
            </m:r>
            <m:r>
              <m:rPr>
                <m:sty m:val="p"/>
              </m:rPr>
              <w:rPr>
                <w:rFonts w:cs="Times New Roman"/>
              </w:rPr>
              <m:t>)</m:t>
            </m:r>
          </m:num>
          <m:den>
            <m:r>
              <w:rPr>
                <w:rFonts w:cs="Times New Roman"/>
              </w:rPr>
              <m:t>dt</m:t>
            </m:r>
          </m:den>
        </m:f>
        <m:r>
          <m:rPr>
            <m:sty m:val="p"/>
          </m:rPr>
          <w:rPr>
            <w:rFonts w:cs="Times New Roman"/>
          </w:rPr>
          <m:t>+</m:t>
        </m:r>
        <m:sSub>
          <m:sSubPr>
            <m:ctrlPr>
              <w:rPr>
                <w:rFonts w:cs="Times New Roman"/>
              </w:rPr>
            </m:ctrlPr>
          </m:sSubPr>
          <m:e>
            <m:r>
              <w:rPr>
                <w:rFonts w:cs="Times New Roman"/>
              </w:rPr>
              <m:t>S</m:t>
            </m:r>
          </m:e>
          <m:sub>
            <m:r>
              <w:rPr>
                <w:rFonts w:cs="Times New Roman"/>
              </w:rPr>
              <m:t>eff</m:t>
            </m:r>
          </m:sub>
        </m:sSub>
        <m:r>
          <m:rPr>
            <m:sty m:val="p"/>
          </m:rPr>
          <w:rPr>
            <w:rFonts w:cs="Times New Roman"/>
          </w:rPr>
          <m:t>(</m:t>
        </m:r>
        <m:r>
          <w:rPr>
            <w:rFonts w:cs="Times New Roman"/>
          </w:rPr>
          <m:t>t</m:t>
        </m:r>
        <m:r>
          <m:rPr>
            <m:sty m:val="p"/>
          </m:rPr>
          <w:rPr>
            <w:rFonts w:cs="Times New Roman"/>
          </w:rPr>
          <m:t>)</m:t>
        </m:r>
        <m:f>
          <m:fPr>
            <m:ctrlPr>
              <w:rPr>
                <w:rFonts w:cs="Times New Roman"/>
              </w:rPr>
            </m:ctrlPr>
          </m:fPr>
          <m:num>
            <m:r>
              <w:rPr>
                <w:rFonts w:cs="Times New Roman"/>
              </w:rPr>
              <m:t>dσ</m:t>
            </m:r>
          </m:num>
          <m:den>
            <m:r>
              <w:rPr>
                <w:rFonts w:cs="Times New Roman"/>
              </w:rPr>
              <m:t>dt</m:t>
            </m:r>
          </m:den>
        </m:f>
      </m:oMath>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hint="eastAsia"/>
        </w:rPr>
        <w:t>(</w:t>
      </w:r>
      <w:r w:rsidR="00464EFC">
        <w:rPr>
          <w:rFonts w:ascii="Times New Roman" w:eastAsiaTheme="minorEastAsia" w:hAnsi="Times New Roman" w:cs="Times New Roman" w:hint="eastAsia"/>
        </w:rPr>
        <w:t>S</w:t>
      </w:r>
      <w:r>
        <w:rPr>
          <w:rFonts w:ascii="Times New Roman" w:eastAsiaTheme="minorEastAsia" w:hAnsi="Times New Roman" w:cs="Times New Roman" w:hint="eastAsia"/>
        </w:rPr>
        <w:t>9)</w:t>
      </w:r>
    </w:p>
    <w:p w14:paraId="26C6BE3C" w14:textId="77777777" w:rsidR="00DF4A8C" w:rsidRPr="00DF4A8C" w:rsidRDefault="0092039A" w:rsidP="00581B55">
      <w:pPr>
        <w:pStyle w:val="a0"/>
        <w:spacing w:beforeLines="50" w:before="156" w:afterLines="50" w:after="156" w:line="240" w:lineRule="auto"/>
        <w:jc w:val="both"/>
      </w:pPr>
      <w:r w:rsidRPr="00460FC2">
        <w:t xml:space="preserve">Assuming a constant surface charge density </w:t>
      </w:r>
      <m:oMath>
        <m:r>
          <m:t>σ</m:t>
        </m:r>
      </m:oMath>
      <w:r w:rsidRPr="00460FC2">
        <w:t xml:space="preserve"> in the steady state, the current is dominated by the rate of change of the contact area </w:t>
      </w:r>
      <m:oMath>
        <m:f>
          <m:fPr>
            <m:ctrlPr/>
          </m:fPr>
          <m:num>
            <m:r>
              <m:t>d</m:t>
            </m:r>
            <m:sSub>
              <m:sSubPr>
                <m:ctrlPr/>
              </m:sSubPr>
              <m:e>
                <m:r>
                  <m:t>S</m:t>
                </m:r>
              </m:e>
              <m:sub>
                <m:r>
                  <m:t>eff</m:t>
                </m:r>
              </m:sub>
            </m:sSub>
          </m:num>
          <m:den>
            <m:r>
              <m:t>dt</m:t>
            </m:r>
          </m:den>
        </m:f>
      </m:oMath>
      <w:r w:rsidRPr="00460FC2">
        <w:t>.</w:t>
      </w:r>
    </w:p>
    <w:p w14:paraId="1AA3922E" w14:textId="77777777" w:rsidR="00DF4A8C" w:rsidRPr="00DF4A8C" w:rsidRDefault="0092039A" w:rsidP="00581B55">
      <w:pPr>
        <w:pStyle w:val="a0"/>
        <w:spacing w:beforeLines="50" w:before="156" w:afterLines="50" w:after="156" w:line="240" w:lineRule="auto"/>
        <w:jc w:val="both"/>
      </w:pPr>
      <w:r w:rsidRPr="00460FC2">
        <w:t>In the Auxetic-TENG, the re-entrant structure undergoes rapid lateral expansion during the bending action. This introduces an additional dynamic term to the area change rate compared to the static non-auxetic counterpart:</w:t>
      </w:r>
    </w:p>
    <w:p w14:paraId="75A3757A" w14:textId="01FE642C" w:rsidR="00DF4A8C" w:rsidRPr="00DF4A8C" w:rsidRDefault="00000000" w:rsidP="00E643AD">
      <w:pPr>
        <w:pStyle w:val="a0"/>
        <w:spacing w:beforeLines="50" w:before="156" w:afterLines="50" w:after="156" w:line="240" w:lineRule="auto"/>
        <w:jc w:val="right"/>
        <w:rPr>
          <w:rFonts w:ascii="Times New Roman" w:eastAsiaTheme="minorEastAsia" w:hAnsi="Times New Roman" w:cs="Times New Roman"/>
        </w:rPr>
      </w:pPr>
      <m:oMath>
        <m:sSub>
          <m:sSubPr>
            <m:ctrlPr>
              <w:rPr>
                <w:rFonts w:cs="Times New Roman"/>
              </w:rPr>
            </m:ctrlPr>
          </m:sSubPr>
          <m:e>
            <m:d>
              <m:dPr>
                <m:ctrlPr>
                  <w:rPr>
                    <w:rFonts w:cs="Times New Roman"/>
                  </w:rPr>
                </m:ctrlPr>
              </m:dPr>
              <m:e>
                <m:f>
                  <m:fPr>
                    <m:ctrlPr>
                      <w:rPr>
                        <w:rFonts w:cs="Times New Roman"/>
                      </w:rPr>
                    </m:ctrlPr>
                  </m:fPr>
                  <m:num>
                    <m:r>
                      <w:rPr>
                        <w:rFonts w:cs="Times New Roman"/>
                      </w:rPr>
                      <m:t>d</m:t>
                    </m:r>
                    <m:sSub>
                      <m:sSubPr>
                        <m:ctrlPr>
                          <w:rPr>
                            <w:rFonts w:cs="Times New Roman"/>
                          </w:rPr>
                        </m:ctrlPr>
                      </m:sSubPr>
                      <m:e>
                        <m:r>
                          <w:rPr>
                            <w:rFonts w:cs="Times New Roman"/>
                          </w:rPr>
                          <m:t>S</m:t>
                        </m:r>
                      </m:e>
                      <m:sub>
                        <m:r>
                          <w:rPr>
                            <w:rFonts w:cs="Times New Roman"/>
                          </w:rPr>
                          <m:t>eff</m:t>
                        </m:r>
                      </m:sub>
                    </m:sSub>
                  </m:num>
                  <m:den>
                    <m:r>
                      <w:rPr>
                        <w:rFonts w:cs="Times New Roman"/>
                      </w:rPr>
                      <m:t>dt</m:t>
                    </m:r>
                  </m:den>
                </m:f>
              </m:e>
            </m:d>
          </m:e>
          <m:sub>
            <m:r>
              <w:rPr>
                <w:rFonts w:cs="Times New Roman"/>
              </w:rPr>
              <m:t>aux</m:t>
            </m:r>
          </m:sub>
        </m:sSub>
        <m:r>
          <m:rPr>
            <m:sty m:val="p"/>
          </m:rPr>
          <w:rPr>
            <w:rFonts w:cs="Times New Roman"/>
          </w:rPr>
          <m:t>=</m:t>
        </m:r>
        <m:f>
          <m:fPr>
            <m:ctrlPr>
              <w:rPr>
                <w:rFonts w:cs="Times New Roman"/>
              </w:rPr>
            </m:ctrlPr>
          </m:fPr>
          <m:num>
            <m:r>
              <w:rPr>
                <w:rFonts w:cs="Times New Roman"/>
              </w:rPr>
              <m:t>d</m:t>
            </m:r>
            <m:sSub>
              <m:sSubPr>
                <m:ctrlPr>
                  <w:rPr>
                    <w:rFonts w:cs="Times New Roman"/>
                  </w:rPr>
                </m:ctrlPr>
              </m:sSubPr>
              <m:e>
                <m:r>
                  <w:rPr>
                    <w:rFonts w:cs="Times New Roman"/>
                  </w:rPr>
                  <m:t>S</m:t>
                </m:r>
              </m:e>
              <m:sub>
                <m:r>
                  <w:rPr>
                    <w:rFonts w:cs="Times New Roman"/>
                  </w:rPr>
                  <m:t>bending</m:t>
                </m:r>
              </m:sub>
            </m:sSub>
          </m:num>
          <m:den>
            <m:r>
              <w:rPr>
                <w:rFonts w:cs="Times New Roman"/>
              </w:rPr>
              <m:t>dt</m:t>
            </m:r>
          </m:den>
        </m:f>
        <m:r>
          <m:rPr>
            <m:sty m:val="p"/>
          </m:rPr>
          <w:rPr>
            <w:rFonts w:cs="Times New Roman"/>
          </w:rPr>
          <m:t>+</m:t>
        </m:r>
        <m:limLow>
          <m:limLowPr>
            <m:ctrlPr>
              <w:rPr>
                <w:rFonts w:cs="Times New Roman"/>
              </w:rPr>
            </m:ctrlPr>
          </m:limLowPr>
          <m:e>
            <m:groupChr>
              <m:groupChrPr>
                <m:ctrlPr>
                  <w:rPr>
                    <w:rFonts w:cs="Times New Roman"/>
                  </w:rPr>
                </m:ctrlPr>
              </m:groupChrPr>
              <m:e>
                <m:f>
                  <m:fPr>
                    <m:ctrlPr>
                      <w:rPr>
                        <w:rFonts w:cs="Times New Roman"/>
                      </w:rPr>
                    </m:ctrlPr>
                  </m:fPr>
                  <m:num>
                    <m:r>
                      <w:rPr>
                        <w:rFonts w:cs="Times New Roman"/>
                      </w:rPr>
                      <m:t>d</m:t>
                    </m:r>
                    <m:sSub>
                      <m:sSubPr>
                        <m:ctrlPr>
                          <w:rPr>
                            <w:rFonts w:cs="Times New Roman"/>
                          </w:rPr>
                        </m:ctrlPr>
                      </m:sSubPr>
                      <m:e>
                        <m:r>
                          <w:rPr>
                            <w:rFonts w:cs="Times New Roman"/>
                          </w:rPr>
                          <m:t>S</m:t>
                        </m:r>
                      </m:e>
                      <m:sub>
                        <m:r>
                          <w:rPr>
                            <w:rFonts w:cs="Times New Roman"/>
                          </w:rPr>
                          <m:t>lateral</m:t>
                        </m:r>
                        <m:r>
                          <m:rPr>
                            <m:sty m:val="p"/>
                          </m:rPr>
                          <w:rPr>
                            <w:rFonts w:cs="Times New Roman"/>
                          </w:rPr>
                          <m:t xml:space="preserve"> </m:t>
                        </m:r>
                        <m:r>
                          <w:rPr>
                            <w:rFonts w:cs="Times New Roman"/>
                          </w:rPr>
                          <m:t>expansion</m:t>
                        </m:r>
                      </m:sub>
                    </m:sSub>
                  </m:num>
                  <m:den>
                    <m:r>
                      <w:rPr>
                        <w:rFonts w:cs="Times New Roman"/>
                      </w:rPr>
                      <m:t>dt</m:t>
                    </m:r>
                  </m:den>
                </m:f>
              </m:e>
            </m:groupChr>
          </m:e>
          <m:lim>
            <m:r>
              <w:rPr>
                <w:rFonts w:cs="Times New Roman"/>
              </w:rPr>
              <m:t>A</m:t>
            </m:r>
            <m:r>
              <w:rPr>
                <w:rFonts w:eastAsiaTheme="minorEastAsia" w:cs="Times New Roman" w:hint="eastAsia"/>
              </w:rPr>
              <m:t>uxetic</m:t>
            </m:r>
            <m:r>
              <w:rPr>
                <w:rFonts w:eastAsiaTheme="minorEastAsia" w:cs="Times New Roman"/>
              </w:rPr>
              <m:t xml:space="preserve"> C</m:t>
            </m:r>
            <m:r>
              <w:rPr>
                <w:rFonts w:eastAsiaTheme="minorEastAsia" w:cs="Times New Roman" w:hint="eastAsia"/>
              </w:rPr>
              <m:t>ontribution</m:t>
            </m:r>
          </m:lim>
        </m:limLow>
      </m:oMath>
      <w:r w:rsidR="00EA105E">
        <w:rPr>
          <w:rFonts w:ascii="Times New Roman" w:eastAsiaTheme="minorEastAsia" w:hAnsi="Times New Roman" w:cs="Times New Roman"/>
        </w:rPr>
        <w:tab/>
      </w:r>
      <w:r w:rsidR="00EA105E">
        <w:rPr>
          <w:rFonts w:ascii="Times New Roman" w:eastAsiaTheme="minorEastAsia" w:hAnsi="Times New Roman" w:cs="Times New Roman"/>
        </w:rPr>
        <w:tab/>
      </w:r>
      <w:r w:rsidR="00EA105E">
        <w:rPr>
          <w:rFonts w:ascii="Times New Roman" w:eastAsiaTheme="minorEastAsia" w:hAnsi="Times New Roman" w:cs="Times New Roman"/>
        </w:rPr>
        <w:tab/>
      </w:r>
      <w:r w:rsidR="00EA105E">
        <w:rPr>
          <w:rFonts w:ascii="Times New Roman" w:eastAsiaTheme="minorEastAsia" w:hAnsi="Times New Roman" w:cs="Times New Roman" w:hint="eastAsia"/>
        </w:rPr>
        <w:t xml:space="preserve">  (</w:t>
      </w:r>
      <w:r w:rsidR="00464EFC">
        <w:rPr>
          <w:rFonts w:ascii="Times New Roman" w:eastAsiaTheme="minorEastAsia" w:hAnsi="Times New Roman" w:cs="Times New Roman" w:hint="eastAsia"/>
        </w:rPr>
        <w:t>S</w:t>
      </w:r>
      <w:r w:rsidR="00EA105E">
        <w:rPr>
          <w:rFonts w:ascii="Times New Roman" w:eastAsiaTheme="minorEastAsia" w:hAnsi="Times New Roman" w:cs="Times New Roman" w:hint="eastAsia"/>
        </w:rPr>
        <w:t>10)</w:t>
      </w:r>
    </w:p>
    <w:p w14:paraId="6DE36280" w14:textId="77777777" w:rsidR="00DF4A8C" w:rsidRPr="00DF4A8C" w:rsidRDefault="0092039A" w:rsidP="00581B55">
      <w:pPr>
        <w:pStyle w:val="FirstParagraph"/>
        <w:spacing w:beforeLines="50" w:before="156" w:afterLines="50" w:after="156" w:line="240" w:lineRule="auto"/>
        <w:ind w:firstLineChars="0" w:firstLine="0"/>
        <w:jc w:val="both"/>
        <w:rPr>
          <w:rFonts w:ascii="Times New Roman" w:hAnsi="Times New Roman" w:cs="Times New Roman"/>
        </w:rPr>
      </w:pPr>
      <w:r w:rsidRPr="00460FC2">
        <w:rPr>
          <w:rFonts w:ascii="Times New Roman" w:hAnsi="Times New Roman" w:cs="Times New Roman"/>
        </w:rPr>
        <w:t xml:space="preserve">Since </w:t>
      </w:r>
      <m:oMath>
        <m:f>
          <m:fPr>
            <m:ctrlPr>
              <w:rPr>
                <w:rFonts w:cs="Times New Roman"/>
              </w:rPr>
            </m:ctrlPr>
          </m:fPr>
          <m:num>
            <m:r>
              <w:rPr>
                <w:rFonts w:cs="Times New Roman"/>
              </w:rPr>
              <m:t>d</m:t>
            </m:r>
            <m:sSub>
              <m:sSubPr>
                <m:ctrlPr>
                  <w:rPr>
                    <w:rFonts w:cs="Times New Roman"/>
                  </w:rPr>
                </m:ctrlPr>
              </m:sSubPr>
              <m:e>
                <m:r>
                  <w:rPr>
                    <w:rFonts w:cs="Times New Roman"/>
                  </w:rPr>
                  <m:t>S</m:t>
                </m:r>
              </m:e>
              <m:sub>
                <m:r>
                  <w:rPr>
                    <w:rFonts w:cs="Times New Roman"/>
                  </w:rPr>
                  <m:t>lateral</m:t>
                </m:r>
                <m:r>
                  <m:rPr>
                    <m:sty m:val="p"/>
                  </m:rPr>
                  <w:rPr>
                    <w:rFonts w:cs="Times New Roman"/>
                  </w:rPr>
                  <m:t xml:space="preserve"> </m:t>
                </m:r>
                <m:r>
                  <w:rPr>
                    <w:rFonts w:cs="Times New Roman"/>
                  </w:rPr>
                  <m:t>expansion</m:t>
                </m:r>
              </m:sub>
            </m:sSub>
          </m:num>
          <m:den>
            <m:r>
              <w:rPr>
                <w:rFonts w:cs="Times New Roman"/>
              </w:rPr>
              <m:t>dt</m:t>
            </m:r>
          </m:den>
        </m:f>
        <m:r>
          <m:rPr>
            <m:sty m:val="p"/>
          </m:rPr>
          <w:rPr>
            <w:rFonts w:cs="Times New Roman"/>
          </w:rPr>
          <m:t>&gt;</m:t>
        </m:r>
        <m:r>
          <w:rPr>
            <w:rFonts w:cs="Times New Roman"/>
          </w:rPr>
          <m:t>0</m:t>
        </m:r>
      </m:oMath>
      <w:r w:rsidRPr="00460FC2">
        <w:rPr>
          <w:rFonts w:ascii="Times New Roman" w:hAnsi="Times New Roman" w:cs="Times New Roman"/>
        </w:rPr>
        <w:t xml:space="preserve"> for auxetic materials under tension, the magnitude of </w:t>
      </w:r>
      <m:oMath>
        <m:sSub>
          <m:sSubPr>
            <m:ctrlPr>
              <w:rPr>
                <w:rFonts w:cs="Times New Roman"/>
              </w:rPr>
            </m:ctrlPr>
          </m:sSubPr>
          <m:e>
            <m:r>
              <w:rPr>
                <w:rFonts w:cs="Times New Roman"/>
              </w:rPr>
              <m:t>I</m:t>
            </m:r>
          </m:e>
          <m:sub>
            <m:r>
              <w:rPr>
                <w:rFonts w:cs="Times New Roman"/>
              </w:rPr>
              <m:t>sc</m:t>
            </m:r>
          </m:sub>
        </m:sSub>
      </m:oMath>
      <w:r w:rsidRPr="00460FC2">
        <w:rPr>
          <w:rFonts w:ascii="Times New Roman" w:hAnsi="Times New Roman" w:cs="Times New Roman"/>
        </w:rPr>
        <w:t xml:space="preserve"> is significantly amplified. This mathematical relationship explains why the auxetic sensor exhibits higher current peaks and sensitivity during dynamic joint movements.</w:t>
      </w:r>
    </w:p>
    <w:p w14:paraId="7D0DC712" w14:textId="77777777" w:rsidR="00DF4A8C" w:rsidRPr="00DF4A8C" w:rsidRDefault="0092039A" w:rsidP="00581B55">
      <w:pPr>
        <w:pStyle w:val="4"/>
        <w:spacing w:beforeLines="50" w:before="156" w:afterLines="50" w:after="156" w:line="240" w:lineRule="auto"/>
        <w:jc w:val="both"/>
        <w:rPr>
          <w:rFonts w:ascii="Times New Roman" w:hAnsi="Times New Roman" w:cs="Times New Roman"/>
          <w:bCs w:val="0"/>
        </w:rPr>
      </w:pPr>
      <w:bookmarkStart w:id="7" w:name="energy-conversion-efficiency-formulation"/>
      <w:bookmarkEnd w:id="6"/>
      <w:r w:rsidRPr="00A26389">
        <w:rPr>
          <w:rFonts w:ascii="Times New Roman" w:hAnsi="Times New Roman" w:cs="Times New Roman"/>
          <w:bCs w:val="0"/>
        </w:rPr>
        <w:t>4. Energy Conversion Efficiency Formulation</w:t>
      </w:r>
    </w:p>
    <w:p w14:paraId="15BAF9BE" w14:textId="77777777" w:rsidR="00DF4A8C" w:rsidRPr="00DF4A8C" w:rsidRDefault="0092039A" w:rsidP="00581B55">
      <w:pPr>
        <w:pStyle w:val="FirstParagraph"/>
        <w:spacing w:beforeLines="50" w:before="156" w:afterLines="50" w:after="156" w:line="240" w:lineRule="auto"/>
        <w:ind w:firstLineChars="0" w:firstLine="0"/>
        <w:jc w:val="both"/>
        <w:rPr>
          <w:rFonts w:ascii="Times New Roman" w:hAnsi="Times New Roman" w:cs="Times New Roman"/>
        </w:rPr>
      </w:pPr>
      <w:r w:rsidRPr="00460FC2">
        <w:rPr>
          <w:rFonts w:ascii="Times New Roman" w:hAnsi="Times New Roman" w:cs="Times New Roman"/>
        </w:rPr>
        <w:t>The energy conversion efficiency (</w:t>
      </w:r>
      <m:oMath>
        <m:r>
          <w:rPr>
            <w:rFonts w:cs="Times New Roman"/>
          </w:rPr>
          <m:t>η</m:t>
        </m:r>
      </m:oMath>
      <w:r w:rsidRPr="00460FC2">
        <w:rPr>
          <w:rFonts w:ascii="Times New Roman" w:hAnsi="Times New Roman" w:cs="Times New Roman"/>
        </w:rPr>
        <w:t>) is the ratio of generated electrical energy (</w:t>
      </w:r>
      <m:oMath>
        <m:sSub>
          <m:sSubPr>
            <m:ctrlPr>
              <w:rPr>
                <w:rFonts w:cs="Times New Roman"/>
              </w:rPr>
            </m:ctrlPr>
          </m:sSubPr>
          <m:e>
            <m:r>
              <w:rPr>
                <w:rFonts w:cs="Times New Roman"/>
              </w:rPr>
              <m:t>E</m:t>
            </m:r>
          </m:e>
          <m:sub>
            <m:r>
              <w:rPr>
                <w:rFonts w:cs="Times New Roman"/>
              </w:rPr>
              <m:t>elec</m:t>
            </m:r>
          </m:sub>
        </m:sSub>
      </m:oMath>
      <w:r w:rsidRPr="00460FC2">
        <w:rPr>
          <w:rFonts w:ascii="Times New Roman" w:hAnsi="Times New Roman" w:cs="Times New Roman"/>
        </w:rPr>
        <w:t>) to the input mechanical work (</w:t>
      </w:r>
      <m:oMath>
        <m:sSub>
          <m:sSubPr>
            <m:ctrlPr>
              <w:rPr>
                <w:rFonts w:cs="Times New Roman"/>
              </w:rPr>
            </m:ctrlPr>
          </m:sSubPr>
          <m:e>
            <m:r>
              <w:rPr>
                <w:rFonts w:cs="Times New Roman"/>
              </w:rPr>
              <m:t>W</m:t>
            </m:r>
          </m:e>
          <m:sub>
            <m:r>
              <w:rPr>
                <w:rFonts w:cs="Times New Roman"/>
              </w:rPr>
              <m:t>mech</m:t>
            </m:r>
          </m:sub>
        </m:sSub>
      </m:oMath>
      <w:r w:rsidRPr="00460FC2">
        <w:rPr>
          <w:rFonts w:ascii="Times New Roman" w:hAnsi="Times New Roman" w:cs="Times New Roman"/>
        </w:rPr>
        <w:t>):</w:t>
      </w:r>
    </w:p>
    <w:p w14:paraId="753FA8AE" w14:textId="3853E96D" w:rsidR="00DF4A8C" w:rsidRPr="00DF4A8C" w:rsidRDefault="00EA105E" w:rsidP="00E643AD">
      <w:pPr>
        <w:pStyle w:val="a0"/>
        <w:spacing w:beforeLines="50" w:before="156" w:afterLines="50" w:after="156" w:line="240" w:lineRule="auto"/>
        <w:jc w:val="right"/>
        <w:rPr>
          <w:rFonts w:ascii="Times New Roman" w:hAnsi="Times New Roman" w:cs="Times New Roman"/>
        </w:rPr>
      </w:pPr>
      <w:r>
        <w:rPr>
          <w:rFonts w:ascii="Times New Roman" w:eastAsiaTheme="minorEastAsia" w:hAnsi="Times New Roman" w:cs="Times New Roman" w:hint="eastAsia"/>
        </w:rPr>
        <w:t xml:space="preserve">          </w:t>
      </w:r>
      <m:oMath>
        <m:r>
          <w:rPr>
            <w:rFonts w:cs="Times New Roman"/>
          </w:rPr>
          <m:t>η</m:t>
        </m:r>
        <m:r>
          <m:rPr>
            <m:sty m:val="p"/>
          </m:rPr>
          <w:rPr>
            <w:rFonts w:cs="Times New Roman"/>
          </w:rPr>
          <m:t>=</m:t>
        </m:r>
        <m:f>
          <m:fPr>
            <m:ctrlPr>
              <w:rPr>
                <w:rFonts w:cs="Times New Roman"/>
              </w:rPr>
            </m:ctrlPr>
          </m:fPr>
          <m:num>
            <m:sSub>
              <m:sSubPr>
                <m:ctrlPr>
                  <w:rPr>
                    <w:rFonts w:cs="Times New Roman"/>
                  </w:rPr>
                </m:ctrlPr>
              </m:sSubPr>
              <m:e>
                <m:r>
                  <w:rPr>
                    <w:rFonts w:cs="Times New Roman"/>
                  </w:rPr>
                  <m:t>E</m:t>
                </m:r>
              </m:e>
              <m:sub>
                <m:r>
                  <w:rPr>
                    <w:rFonts w:cs="Times New Roman"/>
                  </w:rPr>
                  <m:t>elec</m:t>
                </m:r>
              </m:sub>
            </m:sSub>
          </m:num>
          <m:den>
            <m:sSub>
              <m:sSubPr>
                <m:ctrlPr>
                  <w:rPr>
                    <w:rFonts w:cs="Times New Roman"/>
                  </w:rPr>
                </m:ctrlPr>
              </m:sSubPr>
              <m:e>
                <m:r>
                  <w:rPr>
                    <w:rFonts w:cs="Times New Roman"/>
                  </w:rPr>
                  <m:t>W</m:t>
                </m:r>
              </m:e>
              <m:sub>
                <m:r>
                  <w:rPr>
                    <w:rFonts w:cs="Times New Roman"/>
                  </w:rPr>
                  <m:t>mech</m:t>
                </m:r>
              </m:sub>
            </m:sSub>
          </m:den>
        </m:f>
        <m:r>
          <m:rPr>
            <m:sty m:val="p"/>
          </m:rPr>
          <w:rPr>
            <w:rFonts w:cs="Times New Roman"/>
          </w:rPr>
          <m:t>=</m:t>
        </m:r>
        <m:f>
          <m:fPr>
            <m:ctrlPr>
              <w:rPr>
                <w:rFonts w:cs="Times New Roman"/>
              </w:rPr>
            </m:ctrlPr>
          </m:fPr>
          <m:num>
            <m:r>
              <m:rPr>
                <m:sty m:val="p"/>
              </m:rPr>
              <w:rPr>
                <w:rFonts w:cs="Times New Roman"/>
              </w:rPr>
              <m:t>∫</m:t>
            </m:r>
            <m:r>
              <w:rPr>
                <w:rFonts w:cs="Times New Roman"/>
              </w:rPr>
              <m:t>V</m:t>
            </m:r>
            <m:r>
              <m:rPr>
                <m:sty m:val="p"/>
              </m:rPr>
              <w:rPr>
                <w:rFonts w:cs="Times New Roman"/>
              </w:rPr>
              <m:t>(</m:t>
            </m:r>
            <m:r>
              <w:rPr>
                <w:rFonts w:cs="Times New Roman"/>
              </w:rPr>
              <m:t>t</m:t>
            </m:r>
            <m:r>
              <m:rPr>
                <m:sty m:val="p"/>
              </m:rPr>
              <w:rPr>
                <w:rFonts w:cs="Times New Roman"/>
              </w:rPr>
              <m:t>)</m:t>
            </m:r>
            <m:r>
              <w:rPr>
                <w:rFonts w:cs="Times New Roman"/>
              </w:rPr>
              <m:t>I</m:t>
            </m:r>
            <m:r>
              <m:rPr>
                <m:sty m:val="p"/>
              </m:rPr>
              <w:rPr>
                <w:rFonts w:cs="Times New Roman"/>
              </w:rPr>
              <m:t>(</m:t>
            </m:r>
            <m:r>
              <w:rPr>
                <w:rFonts w:cs="Times New Roman"/>
              </w:rPr>
              <m:t>t</m:t>
            </m:r>
            <m:r>
              <m:rPr>
                <m:sty m:val="p"/>
              </m:rPr>
              <w:rPr>
                <w:rFonts w:cs="Times New Roman"/>
              </w:rPr>
              <m:t>)</m:t>
            </m:r>
            <m:r>
              <w:rPr>
                <w:rFonts w:cs="Times New Roman"/>
              </w:rPr>
              <m:t>dt</m:t>
            </m:r>
          </m:num>
          <m:den>
            <m:r>
              <m:rPr>
                <m:sty m:val="p"/>
              </m:rPr>
              <w:rPr>
                <w:rFonts w:cs="Times New Roman"/>
              </w:rPr>
              <m:t>∫</m:t>
            </m:r>
            <m:r>
              <w:rPr>
                <w:rFonts w:cs="Times New Roman"/>
              </w:rPr>
              <m:t>F</m:t>
            </m:r>
            <m:r>
              <m:rPr>
                <m:sty m:val="p"/>
              </m:rPr>
              <w:rPr>
                <w:rFonts w:cs="Times New Roman"/>
              </w:rPr>
              <m:t>(</m:t>
            </m:r>
            <m:r>
              <w:rPr>
                <w:rFonts w:cs="Times New Roman"/>
              </w:rPr>
              <m:t>t</m:t>
            </m:r>
            <m:r>
              <m:rPr>
                <m:sty m:val="p"/>
              </m:rPr>
              <w:rPr>
                <w:rFonts w:cs="Times New Roman"/>
              </w:rPr>
              <m:t>)</m:t>
            </m:r>
            <m:r>
              <w:rPr>
                <w:rFonts w:cs="Times New Roman"/>
              </w:rPr>
              <m:t>dδ</m:t>
            </m:r>
            <m:r>
              <m:rPr>
                <m:sty m:val="p"/>
              </m:rPr>
              <w:rPr>
                <w:rFonts w:cs="Times New Roman"/>
              </w:rPr>
              <m:t>(</m:t>
            </m:r>
            <m:r>
              <w:rPr>
                <w:rFonts w:cs="Times New Roman"/>
              </w:rPr>
              <m:t>t</m:t>
            </m:r>
            <m:r>
              <m:rPr>
                <m:sty m:val="p"/>
              </m:rPr>
              <w:rPr>
                <w:rFonts w:cs="Times New Roman"/>
              </w:rPr>
              <m:t>)</m:t>
            </m:r>
          </m:den>
        </m:f>
      </m:oMath>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hint="eastAsia"/>
        </w:rPr>
        <w:t>(</w:t>
      </w:r>
      <w:r w:rsidR="00464EFC">
        <w:rPr>
          <w:rFonts w:ascii="Times New Roman" w:eastAsiaTheme="minorEastAsia" w:hAnsi="Times New Roman" w:cs="Times New Roman" w:hint="eastAsia"/>
        </w:rPr>
        <w:t>S</w:t>
      </w:r>
      <w:r>
        <w:rPr>
          <w:rFonts w:ascii="Times New Roman" w:eastAsiaTheme="minorEastAsia" w:hAnsi="Times New Roman" w:cs="Times New Roman" w:hint="eastAsia"/>
        </w:rPr>
        <w:t>11)</w:t>
      </w:r>
    </w:p>
    <w:p w14:paraId="288B810E" w14:textId="77777777" w:rsidR="00DF4A8C" w:rsidRPr="00DF4A8C" w:rsidRDefault="0092039A" w:rsidP="00581B55">
      <w:pPr>
        <w:pStyle w:val="a0"/>
        <w:spacing w:beforeLines="50" w:before="156" w:afterLines="50" w:after="156" w:line="240" w:lineRule="auto"/>
        <w:jc w:val="both"/>
        <w:rPr>
          <w:rFonts w:ascii="Times New Roman" w:eastAsiaTheme="minorEastAsia" w:hAnsi="Times New Roman" w:cs="Times New Roman"/>
        </w:rPr>
      </w:pPr>
      <w:r w:rsidRPr="00460FC2">
        <w:rPr>
          <w:rFonts w:ascii="Times New Roman" w:hAnsi="Times New Roman" w:cs="Times New Roman"/>
        </w:rPr>
        <w:t xml:space="preserve">The input work </w:t>
      </w:r>
      <m:oMath>
        <m:sSub>
          <m:sSubPr>
            <m:ctrlPr>
              <w:rPr>
                <w:rFonts w:cs="Times New Roman"/>
              </w:rPr>
            </m:ctrlPr>
          </m:sSubPr>
          <m:e>
            <m:r>
              <w:rPr>
                <w:rFonts w:cs="Times New Roman"/>
              </w:rPr>
              <m:t>W</m:t>
            </m:r>
          </m:e>
          <m:sub>
            <m:r>
              <w:rPr>
                <w:rFonts w:cs="Times New Roman"/>
              </w:rPr>
              <m:t>mech</m:t>
            </m:r>
          </m:sub>
        </m:sSub>
      </m:oMath>
      <w:r w:rsidRPr="00460FC2">
        <w:rPr>
          <w:rFonts w:ascii="Times New Roman" w:hAnsi="Times New Roman" w:cs="Times New Roman"/>
        </w:rPr>
        <w:t xml:space="preserve"> consists of the strain energy stored in the material (</w:t>
      </w:r>
      <m:oMath>
        <m:sSub>
          <m:sSubPr>
            <m:ctrlPr>
              <w:rPr>
                <w:rFonts w:cs="Times New Roman"/>
              </w:rPr>
            </m:ctrlPr>
          </m:sSubPr>
          <m:e>
            <m:r>
              <w:rPr>
                <w:rFonts w:cs="Times New Roman"/>
              </w:rPr>
              <m:t>U</m:t>
            </m:r>
          </m:e>
          <m:sub>
            <m:r>
              <w:rPr>
                <w:rFonts w:cs="Times New Roman"/>
              </w:rPr>
              <m:t>strain</m:t>
            </m:r>
          </m:sub>
        </m:sSub>
      </m:oMath>
      <w:r w:rsidRPr="00460FC2">
        <w:rPr>
          <w:rFonts w:ascii="Times New Roman" w:hAnsi="Times New Roman" w:cs="Times New Roman"/>
        </w:rPr>
        <w:t>) and the energy dissipated through friction and interfacial slippage (</w:t>
      </w:r>
      <m:oMath>
        <m:sSub>
          <m:sSubPr>
            <m:ctrlPr>
              <w:rPr>
                <w:rFonts w:cs="Times New Roman"/>
              </w:rPr>
            </m:ctrlPr>
          </m:sSubPr>
          <m:e>
            <m:r>
              <w:rPr>
                <w:rFonts w:cs="Times New Roman"/>
              </w:rPr>
              <m:t>E</m:t>
            </m:r>
          </m:e>
          <m:sub>
            <m:r>
              <w:rPr>
                <w:rFonts w:cs="Times New Roman"/>
              </w:rPr>
              <m:t>diss</m:t>
            </m:r>
          </m:sub>
        </m:sSub>
      </m:oMath>
      <w:r w:rsidRPr="00460FC2">
        <w:rPr>
          <w:rFonts w:ascii="Times New Roman" w:hAnsi="Times New Roman" w:cs="Times New Roman"/>
        </w:rPr>
        <w:t>):</w:t>
      </w:r>
    </w:p>
    <w:p w14:paraId="392D35D5" w14:textId="062ECD9F" w:rsidR="00DF4A8C" w:rsidRPr="00DF4A8C" w:rsidRDefault="00EA105E" w:rsidP="00E643AD">
      <w:pPr>
        <w:pStyle w:val="a0"/>
        <w:spacing w:beforeLines="50" w:before="156" w:afterLines="50" w:after="156" w:line="240" w:lineRule="auto"/>
        <w:jc w:val="right"/>
        <w:rPr>
          <w:rFonts w:ascii="Times New Roman" w:hAnsi="Times New Roman" w:cs="Times New Roman"/>
        </w:rPr>
      </w:pPr>
      <w:r>
        <w:rPr>
          <w:rFonts w:ascii="Times New Roman" w:eastAsiaTheme="minorEastAsia" w:hAnsi="Times New Roman" w:cs="Times New Roman" w:hint="eastAsia"/>
        </w:rPr>
        <w:t xml:space="preserve">         </w:t>
      </w:r>
      <m:oMath>
        <m:sSub>
          <m:sSubPr>
            <m:ctrlPr>
              <w:rPr>
                <w:rFonts w:cs="Times New Roman"/>
              </w:rPr>
            </m:ctrlPr>
          </m:sSubPr>
          <m:e>
            <m:r>
              <w:rPr>
                <w:rFonts w:cs="Times New Roman"/>
              </w:rPr>
              <m:t>W</m:t>
            </m:r>
          </m:e>
          <m:sub>
            <m:r>
              <w:rPr>
                <w:rFonts w:cs="Times New Roman"/>
              </w:rPr>
              <m:t>mech</m:t>
            </m:r>
          </m:sub>
        </m:sSub>
        <m:r>
          <m:rPr>
            <m:sty m:val="p"/>
          </m:rPr>
          <w:rPr>
            <w:rFonts w:cs="Times New Roman"/>
          </w:rPr>
          <m:t>=</m:t>
        </m:r>
        <m:sSub>
          <m:sSubPr>
            <m:ctrlPr>
              <w:rPr>
                <w:rFonts w:cs="Times New Roman"/>
              </w:rPr>
            </m:ctrlPr>
          </m:sSubPr>
          <m:e>
            <m:r>
              <w:rPr>
                <w:rFonts w:cs="Times New Roman"/>
              </w:rPr>
              <m:t>U</m:t>
            </m:r>
          </m:e>
          <m:sub>
            <m:r>
              <w:rPr>
                <w:rFonts w:cs="Times New Roman"/>
              </w:rPr>
              <m:t>strain</m:t>
            </m:r>
          </m:sub>
        </m:sSub>
        <m:r>
          <m:rPr>
            <m:sty m:val="p"/>
          </m:rPr>
          <w:rPr>
            <w:rFonts w:cs="Times New Roman"/>
          </w:rPr>
          <m:t>+</m:t>
        </m:r>
        <m:sSub>
          <m:sSubPr>
            <m:ctrlPr>
              <w:rPr>
                <w:rFonts w:cs="Times New Roman"/>
              </w:rPr>
            </m:ctrlPr>
          </m:sSubPr>
          <m:e>
            <m:r>
              <w:rPr>
                <w:rFonts w:cs="Times New Roman"/>
              </w:rPr>
              <m:t>E</m:t>
            </m:r>
          </m:e>
          <m:sub>
            <m:r>
              <w:rPr>
                <w:rFonts w:cs="Times New Roman"/>
              </w:rPr>
              <m:t>diss</m:t>
            </m:r>
          </m:sub>
        </m:sSub>
      </m:oMath>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rPr>
        <w:tab/>
      </w:r>
      <w:r>
        <w:rPr>
          <w:rFonts w:ascii="Times New Roman" w:eastAsiaTheme="minorEastAsia" w:hAnsi="Times New Roman" w:cs="Times New Roman" w:hint="eastAsia"/>
        </w:rPr>
        <w:t>(</w:t>
      </w:r>
      <w:r w:rsidR="00464EFC">
        <w:rPr>
          <w:rFonts w:ascii="Times New Roman" w:eastAsiaTheme="minorEastAsia" w:hAnsi="Times New Roman" w:cs="Times New Roman" w:hint="eastAsia"/>
        </w:rPr>
        <w:t>S</w:t>
      </w:r>
      <w:r>
        <w:rPr>
          <w:rFonts w:ascii="Times New Roman" w:eastAsiaTheme="minorEastAsia" w:hAnsi="Times New Roman" w:cs="Times New Roman" w:hint="eastAsia"/>
        </w:rPr>
        <w:t>12)</w:t>
      </w:r>
    </w:p>
    <w:p w14:paraId="6E47CEBF" w14:textId="77777777" w:rsidR="00DF4A8C" w:rsidRPr="00DF4A8C" w:rsidRDefault="0092039A" w:rsidP="00581B55">
      <w:pPr>
        <w:pStyle w:val="a0"/>
        <w:spacing w:beforeLines="50" w:before="156" w:afterLines="50" w:after="156" w:line="240" w:lineRule="auto"/>
        <w:jc w:val="both"/>
        <w:rPr>
          <w:rFonts w:ascii="Times New Roman" w:hAnsi="Times New Roman" w:cs="Times New Roman"/>
        </w:rPr>
      </w:pPr>
      <w:r w:rsidRPr="00EF1A32">
        <w:rPr>
          <w:rFonts w:ascii="Times New Roman" w:hAnsi="Times New Roman" w:cs="Times New Roman"/>
        </w:rPr>
        <w:t>Friction Reduction: In non-auxetic devices, the mismatch-induced sliding at the skin-device interface generates significant frictional heat (</w:t>
      </w:r>
      <m:oMath>
        <m:sSub>
          <m:sSubPr>
            <m:ctrlPr>
              <w:rPr>
                <w:rFonts w:cs="Times New Roman"/>
              </w:rPr>
            </m:ctrlPr>
          </m:sSubPr>
          <m:e>
            <m:r>
              <w:rPr>
                <w:rFonts w:cs="Times New Roman"/>
              </w:rPr>
              <m:t>E</m:t>
            </m:r>
          </m:e>
          <m:sub>
            <m:r>
              <w:rPr>
                <w:rFonts w:cs="Times New Roman"/>
              </w:rPr>
              <m:t>diss</m:t>
            </m:r>
          </m:sub>
        </m:sSub>
        <m:r>
          <m:rPr>
            <m:sty m:val="p"/>
          </m:rPr>
          <w:rPr>
            <w:rFonts w:cs="Times New Roman"/>
          </w:rPr>
          <m:t>↑</m:t>
        </m:r>
      </m:oMath>
      <w:r w:rsidRPr="00EF1A32">
        <w:rPr>
          <w:rFonts w:ascii="Times New Roman" w:hAnsi="Times New Roman" w:cs="Times New Roman"/>
        </w:rPr>
        <w:t>).</w:t>
      </w:r>
    </w:p>
    <w:p w14:paraId="1B7D819C" w14:textId="77777777" w:rsidR="00DF4A8C" w:rsidRPr="00DF4A8C" w:rsidRDefault="0092039A" w:rsidP="00581B55">
      <w:pPr>
        <w:pStyle w:val="Compact"/>
        <w:spacing w:beforeLines="50" w:before="156" w:afterLines="50" w:after="156" w:line="240" w:lineRule="auto"/>
        <w:jc w:val="both"/>
        <w:rPr>
          <w:rFonts w:ascii="Times New Roman" w:eastAsiaTheme="minorEastAsia" w:hAnsi="Times New Roman" w:cs="Times New Roman"/>
        </w:rPr>
      </w:pPr>
      <w:r w:rsidRPr="00EF1A32">
        <w:rPr>
          <w:rFonts w:ascii="Times New Roman" w:hAnsi="Times New Roman" w:cs="Times New Roman"/>
        </w:rPr>
        <w:t>Optimal Coupling: The auxetic structure’s conformal contact implies that the relative displacement (slip) between</w:t>
      </w:r>
      <w:r w:rsidRPr="00460FC2">
        <w:rPr>
          <w:rFonts w:ascii="Times New Roman" w:hAnsi="Times New Roman" w:cs="Times New Roman"/>
        </w:rPr>
        <w:t xml:space="preserve"> the sensor and the skin is minimized (</w:t>
      </w:r>
      <m:oMath>
        <m:r>
          <m:rPr>
            <m:sty m:val="p"/>
          </m:rPr>
          <w:rPr>
            <w:rFonts w:cs="Times New Roman"/>
          </w:rPr>
          <m:t>Δ</m:t>
        </m:r>
        <m:sSub>
          <m:sSubPr>
            <m:ctrlPr>
              <w:rPr>
                <w:rFonts w:cs="Times New Roman"/>
              </w:rPr>
            </m:ctrlPr>
          </m:sSubPr>
          <m:e>
            <m:r>
              <w:rPr>
                <w:rFonts w:cs="Times New Roman"/>
              </w:rPr>
              <m:t>u</m:t>
            </m:r>
          </m:e>
          <m:sub>
            <m:r>
              <w:rPr>
                <w:rFonts w:cs="Times New Roman"/>
              </w:rPr>
              <m:t>slip</m:t>
            </m:r>
          </m:sub>
        </m:sSub>
        <m:r>
          <m:rPr>
            <m:sty m:val="p"/>
          </m:rPr>
          <w:rPr>
            <w:rFonts w:cs="Times New Roman"/>
          </w:rPr>
          <m:t>≈</m:t>
        </m:r>
        <m:r>
          <w:rPr>
            <w:rFonts w:cs="Times New Roman"/>
          </w:rPr>
          <m:t>0</m:t>
        </m:r>
      </m:oMath>
      <w:r w:rsidRPr="00460FC2">
        <w:rPr>
          <w:rFonts w:ascii="Times New Roman" w:hAnsi="Times New Roman" w:cs="Times New Roman"/>
        </w:rPr>
        <w:t xml:space="preserve">). Therefore, the dissipative term </w:t>
      </w:r>
      <m:oMath>
        <m:sSub>
          <m:sSubPr>
            <m:ctrlPr>
              <w:rPr>
                <w:rFonts w:cs="Times New Roman"/>
              </w:rPr>
            </m:ctrlPr>
          </m:sSubPr>
          <m:e>
            <m:r>
              <w:rPr>
                <w:rFonts w:cs="Times New Roman"/>
              </w:rPr>
              <m:t>E</m:t>
            </m:r>
          </m:e>
          <m:sub>
            <m:r>
              <w:rPr>
                <w:rFonts w:cs="Times New Roman"/>
              </w:rPr>
              <m:t>diss</m:t>
            </m:r>
          </m:sub>
        </m:sSub>
        <m:r>
          <m:rPr>
            <m:sty m:val="p"/>
          </m:rPr>
          <w:rPr>
            <w:rFonts w:cs="Times New Roman"/>
          </w:rPr>
          <m:t>→</m:t>
        </m:r>
        <m:r>
          <w:rPr>
            <w:rFonts w:cs="Times New Roman"/>
          </w:rPr>
          <m:t>0</m:t>
        </m:r>
      </m:oMath>
      <w:r w:rsidRPr="00460FC2">
        <w:rPr>
          <w:rFonts w:ascii="Times New Roman" w:hAnsi="Times New Roman" w:cs="Times New Roman"/>
        </w:rPr>
        <w:t>.</w:t>
      </w:r>
      <w:r w:rsidR="00EF1A32">
        <w:rPr>
          <w:rFonts w:ascii="Times New Roman" w:eastAsiaTheme="minorEastAsia" w:hAnsi="Times New Roman" w:cs="Times New Roman" w:hint="eastAsia"/>
        </w:rPr>
        <w:t xml:space="preserve"> </w:t>
      </w:r>
      <w:r w:rsidRPr="00460FC2">
        <w:rPr>
          <w:rFonts w:ascii="Times New Roman" w:hAnsi="Times New Roman" w:cs="Times New Roman"/>
        </w:rPr>
        <w:t xml:space="preserve">By minimizing </w:t>
      </w:r>
      <m:oMath>
        <m:sSub>
          <m:sSubPr>
            <m:ctrlPr>
              <w:rPr>
                <w:rFonts w:cs="Times New Roman"/>
              </w:rPr>
            </m:ctrlPr>
          </m:sSubPr>
          <m:e>
            <m:r>
              <w:rPr>
                <w:rFonts w:cs="Times New Roman"/>
              </w:rPr>
              <m:t>W</m:t>
            </m:r>
          </m:e>
          <m:sub>
            <m:r>
              <w:rPr>
                <w:rFonts w:cs="Times New Roman"/>
              </w:rPr>
              <m:t>mech</m:t>
            </m:r>
          </m:sub>
        </m:sSub>
      </m:oMath>
      <w:r w:rsidRPr="00460FC2">
        <w:rPr>
          <w:rFonts w:ascii="Times New Roman" w:hAnsi="Times New Roman" w:cs="Times New Roman"/>
        </w:rPr>
        <w:t xml:space="preserve"> (wasteful dissipation) and maximizing </w:t>
      </w:r>
      <m:oMath>
        <m:sSub>
          <m:sSubPr>
            <m:ctrlPr>
              <w:rPr>
                <w:rFonts w:cs="Times New Roman"/>
              </w:rPr>
            </m:ctrlPr>
          </m:sSubPr>
          <m:e>
            <m:r>
              <w:rPr>
                <w:rFonts w:cs="Times New Roman"/>
              </w:rPr>
              <m:t>E</m:t>
            </m:r>
          </m:e>
          <m:sub>
            <m:r>
              <w:rPr>
                <w:rFonts w:cs="Times New Roman"/>
              </w:rPr>
              <m:t>elec</m:t>
            </m:r>
          </m:sub>
        </m:sSub>
      </m:oMath>
      <w:r w:rsidRPr="00460FC2">
        <w:rPr>
          <w:rFonts w:ascii="Times New Roman" w:hAnsi="Times New Roman" w:cs="Times New Roman"/>
        </w:rPr>
        <w:t xml:space="preserve"> (via enhanced </w:t>
      </w:r>
      <m:oMath>
        <m:sSub>
          <m:sSubPr>
            <m:ctrlPr>
              <w:rPr>
                <w:rFonts w:cs="Times New Roman"/>
              </w:rPr>
            </m:ctrlPr>
          </m:sSubPr>
          <m:e>
            <m:r>
              <w:rPr>
                <w:rFonts w:cs="Times New Roman"/>
              </w:rPr>
              <m:t>S</m:t>
            </m:r>
          </m:e>
          <m:sub>
            <m:r>
              <w:rPr>
                <w:rFonts w:cs="Times New Roman"/>
              </w:rPr>
              <m:t>eff</m:t>
            </m:r>
          </m:sub>
        </m:sSub>
      </m:oMath>
      <w:r w:rsidRPr="00460FC2">
        <w:rPr>
          <w:rFonts w:ascii="Times New Roman" w:hAnsi="Times New Roman" w:cs="Times New Roman"/>
        </w:rPr>
        <w:t xml:space="preserve">), the total efficiency </w:t>
      </w:r>
      <m:oMath>
        <m:r>
          <w:rPr>
            <w:rFonts w:cs="Times New Roman"/>
          </w:rPr>
          <m:t>η</m:t>
        </m:r>
      </m:oMath>
      <w:r w:rsidRPr="00460FC2">
        <w:rPr>
          <w:rFonts w:ascii="Times New Roman" w:hAnsi="Times New Roman" w:cs="Times New Roman"/>
        </w:rPr>
        <w:t xml:space="preserve"> is theoretically maximized.</w:t>
      </w:r>
      <w:bookmarkEnd w:id="2"/>
      <w:bookmarkEnd w:id="3"/>
      <w:bookmarkEnd w:id="7"/>
    </w:p>
    <w:p w14:paraId="7F423B38" w14:textId="3FF864C3" w:rsidR="00DF4A8C" w:rsidRPr="00DF4A8C" w:rsidRDefault="00BC483E" w:rsidP="00581B55">
      <w:pPr>
        <w:spacing w:beforeLines="50" w:before="156" w:afterLines="50" w:after="156"/>
        <w:rPr>
          <w:b/>
          <w:bCs/>
        </w:rPr>
      </w:pPr>
      <w:bookmarkStart w:id="8" w:name="_Hlk219390847"/>
      <w:r w:rsidRPr="00BC483E">
        <w:rPr>
          <w:b/>
          <w:bCs/>
        </w:rPr>
        <w:t>Note S4</w:t>
      </w:r>
      <w:bookmarkEnd w:id="8"/>
      <w:r w:rsidRPr="00BC483E">
        <w:rPr>
          <w:b/>
          <w:bCs/>
        </w:rPr>
        <w:t xml:space="preserve"> Theoretical Assumptions and Boundary Conditions for Energy Conversion Efficiency Calculation</w:t>
      </w:r>
    </w:p>
    <w:p w14:paraId="73431FB5" w14:textId="77777777" w:rsidR="00DF4A8C" w:rsidRPr="00DF4A8C" w:rsidRDefault="00BC483E" w:rsidP="00581B55">
      <w:pPr>
        <w:spacing w:beforeLines="50" w:before="156" w:afterLines="50" w:after="156"/>
      </w:pPr>
      <w:r w:rsidRPr="00BC483E">
        <w:t>This note provides a detailed clarification of the physical assumptions, boundary conditions, and applicable scope underlying the mechanical energy input and conversion efficiency calculations presented in Section 2.4. To ensure a transparent and standardized evaluation of the device's structural performance, the theoretical derivation relies on specific approximations regarding material behavior and strain distribution.</w:t>
      </w:r>
    </w:p>
    <w:p w14:paraId="182C6E69" w14:textId="77777777" w:rsidR="00DF4A8C" w:rsidRPr="00DF4A8C" w:rsidRDefault="00BC483E" w:rsidP="00581B55">
      <w:pPr>
        <w:spacing w:beforeLines="50" w:before="156" w:afterLines="50" w:after="156"/>
      </w:pPr>
      <w:r w:rsidRPr="00BC483E">
        <w:t>The first critical assumption is the linear elastic behavior of the composite material. The calculation of elastic strain energy utilizes a constant Young’s modulus, effectively modeling the stress-strain relationship as linear within the operational window. While the constituent polymers, such as PDMS, are inherently hyperelastic, the mechanical deformations in our testing range (bending displacement up to 20 mm) correspond to global effective strains where the material response remains predominantly linear. This first-order approximation allows for an analytical derivation that highlights the fundamental comparative advantages of the auxetic structure without being obscured by the complexities of non-linear finite element modeling.</w:t>
      </w:r>
    </w:p>
    <w:p w14:paraId="0A3BB1B5" w14:textId="77777777" w:rsidR="00DF4A8C" w:rsidRPr="00DF4A8C" w:rsidRDefault="00BC483E" w:rsidP="00581B55">
      <w:pPr>
        <w:spacing w:beforeLines="50" w:before="156" w:afterLines="50" w:after="156"/>
      </w:pPr>
      <w:r w:rsidRPr="00BC483E">
        <w:t>Furthermore, the theoretical model treats the discrete auxetic lattice as a continuous effective medium with homogenized mechanical properties. Consequently, the strain term in the energy equation represents the volume-averaged equivalent strain rather than localized peak strains at the structural hinges. In the bending mode, although strain gradients exist along the thickness, utilizing classical plate theory to integrate over the effective volume provides a representative energy input value. This homogenization strategy facilitates a direct macroscopic evaluation of the Auxetic Effect, such as the enhancement from synclastic curvature, independent of microscopic stress concentrations.</w:t>
      </w:r>
    </w:p>
    <w:p w14:paraId="0E332909" w14:textId="77777777" w:rsidR="00DF4A8C" w:rsidRPr="00DF4A8C" w:rsidRDefault="00BC483E" w:rsidP="00581B55">
      <w:pPr>
        <w:spacing w:beforeLines="50" w:before="156" w:afterLines="50" w:after="156"/>
      </w:pPr>
      <w:r w:rsidRPr="00BC483E">
        <w:t>Finally, it is important to note that the input energy is defined strictly as the stored elastic potential energy, thereby excluding energy dissipated due to material viscoelasticity (hysteresis loops) and air damping. As a result, the reported efficiency represents the Elastic Energy Conversion Efficiency. This metric specifically quantifies the device's capability to convert recoverable mechanical energy into electricity, isolating the electromechanical coupling performance from the material's intrinsic thermal damping. Under the quasi-static or low-frequency actuation conditions employed in this study, where elastic restoring forces dominate over viscous damping forces, this definition serves as a robust and standardized benchmark for assessing the superior structural capability of the Auxetic-TENG.</w:t>
      </w:r>
    </w:p>
    <w:p w14:paraId="67C3FF60" w14:textId="576A9833" w:rsidR="00DF4A8C" w:rsidRPr="00464EFC" w:rsidRDefault="00FF77AA" w:rsidP="00581B55">
      <w:pPr>
        <w:spacing w:beforeLines="50" w:before="156" w:afterLines="50" w:after="156"/>
        <w:rPr>
          <w:rFonts w:hint="eastAsia"/>
          <w:b/>
          <w:bCs/>
          <w:sz w:val="28"/>
          <w:szCs w:val="28"/>
        </w:rPr>
      </w:pPr>
      <w:r w:rsidRPr="00464EFC">
        <w:rPr>
          <w:b/>
          <w:bCs/>
          <w:sz w:val="28"/>
          <w:szCs w:val="28"/>
        </w:rPr>
        <w:t xml:space="preserve">Supplementary </w:t>
      </w:r>
      <w:r w:rsidR="00841B89" w:rsidRPr="00464EFC">
        <w:rPr>
          <w:b/>
          <w:bCs/>
          <w:sz w:val="28"/>
          <w:szCs w:val="28"/>
        </w:rPr>
        <w:t>Fig</w:t>
      </w:r>
      <w:r w:rsidR="00BC483E" w:rsidRPr="00464EFC">
        <w:rPr>
          <w:rFonts w:hint="eastAsia"/>
          <w:b/>
          <w:bCs/>
          <w:sz w:val="28"/>
          <w:szCs w:val="28"/>
        </w:rPr>
        <w:t>ures</w:t>
      </w:r>
      <w:r w:rsidR="00464EFC">
        <w:rPr>
          <w:rFonts w:hint="eastAsia"/>
          <w:b/>
          <w:bCs/>
          <w:sz w:val="28"/>
          <w:szCs w:val="28"/>
        </w:rPr>
        <w:t xml:space="preserve"> and Tables</w:t>
      </w:r>
    </w:p>
    <w:p w14:paraId="6E9C444F" w14:textId="77777777" w:rsidR="00DF4A8C" w:rsidRPr="00DF4A8C" w:rsidRDefault="00FF77AA" w:rsidP="00581B55">
      <w:pPr>
        <w:spacing w:beforeLines="50" w:before="156" w:afterLines="50" w:after="156"/>
      </w:pPr>
      <w:r w:rsidRPr="00460FC2">
        <w:rPr>
          <w:noProof/>
        </w:rPr>
        <w:drawing>
          <wp:inline distT="0" distB="0" distL="114300" distR="114300" wp14:anchorId="6EACDB70" wp14:editId="786B40CF">
            <wp:extent cx="3161665" cy="1743710"/>
            <wp:effectExtent l="0" t="0" r="0" b="0"/>
            <wp:docPr id="8" name="图片 7" descr="Made with insMind-55aa1e9dc58d6aec18f3271c10c2d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Made with insMind-55aa1e9dc58d6aec18f3271c10c2d65"/>
                    <pic:cNvPicPr>
                      <a:picLocks noChangeAspect="1"/>
                    </pic:cNvPicPr>
                  </pic:nvPicPr>
                  <pic:blipFill>
                    <a:blip r:embed="rId12">
                      <a:clrChange>
                        <a:clrFrom>
                          <a:srgbClr val="000000">
                            <a:alpha val="0"/>
                          </a:srgbClr>
                        </a:clrFrom>
                        <a:clrTo>
                          <a:srgbClr val="000000">
                            <a:alpha val="0"/>
                            <a:alpha val="0"/>
                          </a:srgbClr>
                        </a:clrTo>
                      </a:clrChange>
                    </a:blip>
                    <a:stretch>
                      <a:fillRect/>
                    </a:stretch>
                  </pic:blipFill>
                  <pic:spPr>
                    <a:xfrm>
                      <a:off x="0" y="0"/>
                      <a:ext cx="3161665" cy="1743710"/>
                    </a:xfrm>
                    <a:prstGeom prst="rect">
                      <a:avLst/>
                    </a:prstGeom>
                  </pic:spPr>
                </pic:pic>
              </a:graphicData>
            </a:graphic>
          </wp:inline>
        </w:drawing>
      </w:r>
      <w:r w:rsidR="00DC10DA" w:rsidRPr="00460FC2">
        <w:rPr>
          <w:noProof/>
        </w:rPr>
        <w:t xml:space="preserve"> </w:t>
      </w:r>
      <w:r w:rsidR="00DC10DA" w:rsidRPr="00460FC2">
        <w:rPr>
          <w:noProof/>
        </w:rPr>
        <w:drawing>
          <wp:inline distT="0" distB="0" distL="0" distR="0" wp14:anchorId="67A4CB94" wp14:editId="7FEB0B57">
            <wp:extent cx="1075765" cy="1137121"/>
            <wp:effectExtent l="0" t="0" r="0" b="6350"/>
            <wp:docPr id="352" name="图片 351">
              <a:extLst xmlns:a="http://schemas.openxmlformats.org/drawingml/2006/main">
                <a:ext uri="{FF2B5EF4-FFF2-40B4-BE49-F238E27FC236}">
                  <a16:creationId xmlns:a16="http://schemas.microsoft.com/office/drawing/2014/main" id="{655CCAEA-DBA8-2549-245C-C59E96CD30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图片 351">
                      <a:extLst>
                        <a:ext uri="{FF2B5EF4-FFF2-40B4-BE49-F238E27FC236}">
                          <a16:creationId xmlns:a16="http://schemas.microsoft.com/office/drawing/2014/main" id="{655CCAEA-DBA8-2549-245C-C59E96CD30F7}"/>
                        </a:ext>
                      </a:extLst>
                    </pic:cNvPr>
                    <pic:cNvPicPr>
                      <a:picLocks noChangeAspect="1"/>
                    </pic:cNvPicPr>
                  </pic:nvPicPr>
                  <pic:blipFill>
                    <a:blip r:embed="rId13"/>
                    <a:stretch>
                      <a:fillRect/>
                    </a:stretch>
                  </pic:blipFill>
                  <pic:spPr>
                    <a:xfrm>
                      <a:off x="0" y="0"/>
                      <a:ext cx="1080415" cy="1142036"/>
                    </a:xfrm>
                    <a:prstGeom prst="rect">
                      <a:avLst/>
                    </a:prstGeom>
                  </pic:spPr>
                </pic:pic>
              </a:graphicData>
            </a:graphic>
          </wp:inline>
        </w:drawing>
      </w:r>
    </w:p>
    <w:p w14:paraId="160F6F65" w14:textId="694C32BB" w:rsidR="00DF4A8C" w:rsidRPr="00DF4A8C" w:rsidRDefault="00FF77AA" w:rsidP="00581B55">
      <w:pPr>
        <w:spacing w:beforeLines="50" w:before="156" w:afterLines="50" w:after="156"/>
        <w:rPr>
          <w:rStyle w:val="af0"/>
          <w:rFonts w:eastAsia="微软雅黑"/>
          <w:b w:val="0"/>
          <w:color w:val="404040"/>
          <w:shd w:val="clear" w:color="auto" w:fill="FFFFFF"/>
        </w:rPr>
      </w:pPr>
      <w:r w:rsidRPr="00460FC2">
        <w:rPr>
          <w:b/>
          <w:bCs/>
        </w:rPr>
        <w:t>Fig. S1</w:t>
      </w:r>
      <w:r w:rsidRPr="00460FC2">
        <w:t xml:space="preserve"> </w:t>
      </w:r>
      <w:r w:rsidRPr="00460FC2">
        <w:rPr>
          <w:rStyle w:val="af0"/>
          <w:rFonts w:eastAsia="Segoe UI"/>
          <w:b w:val="0"/>
          <w:color w:val="404040"/>
          <w:shd w:val="clear" w:color="auto" w:fill="FFFFFF"/>
        </w:rPr>
        <w:t>Schematic diagram and dimensions of the auxetic structure</w:t>
      </w:r>
      <w:r w:rsidR="00E643AD">
        <w:rPr>
          <w:rStyle w:val="af0"/>
          <w:rFonts w:hint="eastAsia"/>
          <w:b w:val="0"/>
          <w:color w:val="404040"/>
          <w:shd w:val="clear" w:color="auto" w:fill="FFFFFF"/>
        </w:rPr>
        <w:t xml:space="preserve"> [S</w:t>
      </w:r>
      <w:r w:rsidRPr="00E643AD">
        <w:t>1,</w:t>
      </w:r>
      <w:r w:rsidR="00E643AD">
        <w:rPr>
          <w:rFonts w:hint="eastAsia"/>
        </w:rPr>
        <w:t xml:space="preserve"> S</w:t>
      </w:r>
      <w:r w:rsidRPr="00E643AD">
        <w:t>2</w:t>
      </w:r>
      <w:r w:rsidR="00E643AD">
        <w:rPr>
          <w:rFonts w:hint="eastAsia"/>
        </w:rPr>
        <w:t>]</w:t>
      </w:r>
      <w:r w:rsidR="00DC10DA" w:rsidRPr="00460FC2">
        <w:t xml:space="preserve"> </w:t>
      </w:r>
      <w:r w:rsidR="00DC10DA" w:rsidRPr="00460FC2">
        <w:rPr>
          <w:rStyle w:val="af0"/>
          <w:rFonts w:eastAsia="微软雅黑"/>
          <w:b w:val="0"/>
          <w:color w:val="404040"/>
          <w:shd w:val="clear" w:color="auto" w:fill="FFFFFF"/>
        </w:rPr>
        <w:t>here, a=4.93, b=3.53, and θ</w:t>
      </w:r>
      <w:r w:rsidR="00DC10DA" w:rsidRPr="00460FC2">
        <w:rPr>
          <w:rStyle w:val="af0"/>
          <w:rFonts w:eastAsia="微软雅黑"/>
          <w:b w:val="0"/>
          <w:color w:val="404040"/>
          <w:shd w:val="clear" w:color="auto" w:fill="FFFFFF"/>
          <w:vertAlign w:val="subscript"/>
        </w:rPr>
        <w:t>0</w:t>
      </w:r>
      <w:r w:rsidR="00DC10DA" w:rsidRPr="00460FC2">
        <w:rPr>
          <w:rStyle w:val="af0"/>
          <w:rFonts w:eastAsia="微软雅黑"/>
          <w:b w:val="0"/>
          <w:color w:val="404040"/>
          <w:shd w:val="clear" w:color="auto" w:fill="FFFFFF"/>
        </w:rPr>
        <w:t>=60°</w:t>
      </w:r>
    </w:p>
    <w:p w14:paraId="1EF69D6F" w14:textId="77777777" w:rsidR="00DF4A8C" w:rsidRPr="00DF4A8C" w:rsidRDefault="00DF4A8C" w:rsidP="00581B55">
      <w:pPr>
        <w:spacing w:beforeLines="50" w:before="156" w:afterLines="50" w:after="156"/>
        <w:rPr>
          <w:rStyle w:val="af0"/>
          <w:rFonts w:eastAsia="微软雅黑"/>
          <w:b w:val="0"/>
          <w:color w:val="404040"/>
          <w:shd w:val="clear" w:color="auto" w:fill="FFFFFF"/>
        </w:rPr>
      </w:pPr>
    </w:p>
    <w:p w14:paraId="53C7F279" w14:textId="77777777" w:rsidR="00DF4A8C" w:rsidRPr="00DF4A8C" w:rsidRDefault="00FF77AA" w:rsidP="00581B55">
      <w:pPr>
        <w:spacing w:beforeLines="50" w:before="156" w:afterLines="50" w:after="156"/>
        <w:jc w:val="center"/>
      </w:pPr>
      <w:r w:rsidRPr="00460FC2">
        <w:rPr>
          <w:noProof/>
        </w:rPr>
        <w:drawing>
          <wp:inline distT="0" distB="0" distL="114300" distR="114300" wp14:anchorId="2454DE5D" wp14:editId="4D383E41">
            <wp:extent cx="2373252" cy="1919850"/>
            <wp:effectExtent l="0" t="0" r="8255" b="4445"/>
            <wp:docPr id="12"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6"/>
                    <pic:cNvPicPr>
                      <a:picLocks noChangeAspect="1"/>
                    </pic:cNvPicPr>
                  </pic:nvPicPr>
                  <pic:blipFill>
                    <a:blip r:embed="rId14"/>
                    <a:stretch>
                      <a:fillRect/>
                    </a:stretch>
                  </pic:blipFill>
                  <pic:spPr>
                    <a:xfrm>
                      <a:off x="0" y="0"/>
                      <a:ext cx="2377187" cy="1923033"/>
                    </a:xfrm>
                    <a:prstGeom prst="rect">
                      <a:avLst/>
                    </a:prstGeom>
                  </pic:spPr>
                </pic:pic>
              </a:graphicData>
            </a:graphic>
          </wp:inline>
        </w:drawing>
      </w:r>
    </w:p>
    <w:p w14:paraId="01E299F5" w14:textId="49982985" w:rsidR="00DF4A8C" w:rsidRPr="00464EFC" w:rsidRDefault="00FF77AA" w:rsidP="00581B55">
      <w:pPr>
        <w:spacing w:beforeLines="50" w:before="156" w:afterLines="50" w:after="156"/>
        <w:rPr>
          <w:rStyle w:val="af0"/>
          <w:rFonts w:hint="eastAsia"/>
          <w:b w:val="0"/>
          <w:color w:val="404040"/>
          <w:shd w:val="clear" w:color="auto" w:fill="FFFFFF"/>
        </w:rPr>
      </w:pPr>
      <w:r w:rsidRPr="00460FC2">
        <w:rPr>
          <w:b/>
          <w:bCs/>
        </w:rPr>
        <w:t>Fig.</w:t>
      </w:r>
      <w:r w:rsidR="00E643AD">
        <w:rPr>
          <w:rFonts w:hint="eastAsia"/>
          <w:b/>
          <w:bCs/>
        </w:rPr>
        <w:t xml:space="preserve"> </w:t>
      </w:r>
      <w:r w:rsidRPr="00460FC2">
        <w:rPr>
          <w:b/>
          <w:bCs/>
        </w:rPr>
        <w:t xml:space="preserve">S2 </w:t>
      </w:r>
      <w:bookmarkStart w:id="9" w:name="OLE_LINK1"/>
      <w:r w:rsidRPr="00460FC2">
        <w:rPr>
          <w:rStyle w:val="af0"/>
          <w:rFonts w:eastAsia="Segoe UI"/>
          <w:b w:val="0"/>
          <w:color w:val="404040"/>
          <w:shd w:val="clear" w:color="auto" w:fill="FFFFFF"/>
        </w:rPr>
        <w:t>Output current of the Auxetic-TENG in contact-separation mode, and comparison of output currents between Auxetic- and Non-Auxetic-TENGs in bending mode</w:t>
      </w:r>
      <w:r w:rsidR="00E643AD">
        <w:rPr>
          <w:rStyle w:val="af0"/>
          <w:rFonts w:hint="eastAsia"/>
          <w:b w:val="0"/>
          <w:color w:val="404040"/>
          <w:shd w:val="clear" w:color="auto" w:fill="FFFFFF"/>
        </w:rPr>
        <w:t xml:space="preserve"> [S</w:t>
      </w:r>
      <w:r w:rsidRPr="00E643AD">
        <w:t>3</w:t>
      </w:r>
      <w:bookmarkEnd w:id="9"/>
      <w:r w:rsidR="00E643AD">
        <w:rPr>
          <w:rFonts w:hint="eastAsia"/>
        </w:rPr>
        <w:t>]</w:t>
      </w:r>
    </w:p>
    <w:p w14:paraId="14206E91" w14:textId="77777777" w:rsidR="00DF4A8C" w:rsidRPr="00DF4A8C" w:rsidRDefault="00FF77AA" w:rsidP="00581B55">
      <w:pPr>
        <w:spacing w:beforeLines="50" w:before="156" w:afterLines="50" w:after="156"/>
        <w:jc w:val="center"/>
      </w:pPr>
      <w:r w:rsidRPr="00460FC2">
        <w:rPr>
          <w:noProof/>
        </w:rPr>
        <w:drawing>
          <wp:inline distT="0" distB="0" distL="114300" distR="114300" wp14:anchorId="3D2A2B36" wp14:editId="15C89C00">
            <wp:extent cx="4786630" cy="2595880"/>
            <wp:effectExtent l="0" t="0" r="13970" b="10160"/>
            <wp:docPr id="1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3"/>
                    <pic:cNvPicPr>
                      <a:picLocks noChangeAspect="1"/>
                    </pic:cNvPicPr>
                  </pic:nvPicPr>
                  <pic:blipFill>
                    <a:blip r:embed="rId15"/>
                    <a:stretch>
                      <a:fillRect/>
                    </a:stretch>
                  </pic:blipFill>
                  <pic:spPr>
                    <a:xfrm>
                      <a:off x="0" y="0"/>
                      <a:ext cx="4786630" cy="2595880"/>
                    </a:xfrm>
                    <a:prstGeom prst="rect">
                      <a:avLst/>
                    </a:prstGeom>
                  </pic:spPr>
                </pic:pic>
              </a:graphicData>
            </a:graphic>
          </wp:inline>
        </w:drawing>
      </w:r>
    </w:p>
    <w:p w14:paraId="63F99950" w14:textId="3C71600F" w:rsidR="00DF4A8C" w:rsidRPr="00464EFC" w:rsidRDefault="00FF77AA" w:rsidP="00581B55">
      <w:pPr>
        <w:spacing w:beforeLines="50" w:before="156" w:afterLines="50" w:after="156"/>
        <w:rPr>
          <w:rFonts w:hint="eastAsia"/>
        </w:rPr>
      </w:pPr>
      <w:r w:rsidRPr="00460FC2">
        <w:rPr>
          <w:b/>
          <w:bCs/>
        </w:rPr>
        <w:t>Fig</w:t>
      </w:r>
      <w:r w:rsidR="00CB4C63" w:rsidRPr="00460FC2">
        <w:rPr>
          <w:b/>
          <w:bCs/>
        </w:rPr>
        <w:t>.</w:t>
      </w:r>
      <w:r w:rsidRPr="00460FC2">
        <w:rPr>
          <w:b/>
          <w:bCs/>
        </w:rPr>
        <w:t xml:space="preserve"> S3</w:t>
      </w:r>
      <w:r w:rsidRPr="00460FC2">
        <w:t xml:space="preserve"> </w:t>
      </w:r>
      <w:r w:rsidRPr="00460FC2">
        <w:rPr>
          <w:rStyle w:val="af0"/>
          <w:rFonts w:eastAsia="Segoe UI"/>
          <w:b w:val="0"/>
          <w:color w:val="404040"/>
          <w:shd w:val="clear" w:color="auto" w:fill="FFFFFF"/>
        </w:rPr>
        <w:t>Temporal evolution of the triboelectric output from the Auxetic-TENG under applied pressures of 40 kPa, 80 kPa, 120 kPa, 160 kPa, and 200 kPa</w:t>
      </w:r>
    </w:p>
    <w:p w14:paraId="40ED3587" w14:textId="77777777" w:rsidR="00DF4A8C" w:rsidRPr="00DF4A8C" w:rsidRDefault="00FF77AA" w:rsidP="00581B55">
      <w:pPr>
        <w:spacing w:beforeLines="50" w:before="156" w:afterLines="50" w:after="156"/>
        <w:jc w:val="center"/>
      </w:pPr>
      <w:r w:rsidRPr="00460FC2">
        <w:rPr>
          <w:noProof/>
        </w:rPr>
        <w:drawing>
          <wp:inline distT="0" distB="0" distL="114300" distR="114300" wp14:anchorId="4C155642" wp14:editId="1FDCADE9">
            <wp:extent cx="2268550" cy="1844217"/>
            <wp:effectExtent l="0" t="0" r="0" b="0"/>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icPr>
                  <pic:blipFill>
                    <a:blip r:embed="rId16"/>
                    <a:stretch>
                      <a:fillRect/>
                    </a:stretch>
                  </pic:blipFill>
                  <pic:spPr>
                    <a:xfrm>
                      <a:off x="0" y="0"/>
                      <a:ext cx="2275441" cy="1849819"/>
                    </a:xfrm>
                    <a:prstGeom prst="rect">
                      <a:avLst/>
                    </a:prstGeom>
                  </pic:spPr>
                </pic:pic>
              </a:graphicData>
            </a:graphic>
          </wp:inline>
        </w:drawing>
      </w:r>
    </w:p>
    <w:p w14:paraId="04AA2F5B" w14:textId="647EEAC0" w:rsidR="00DF4A8C" w:rsidRPr="00464EFC" w:rsidRDefault="00FF77AA" w:rsidP="00581B55">
      <w:pPr>
        <w:spacing w:beforeLines="50" w:before="156" w:afterLines="50" w:after="156"/>
        <w:rPr>
          <w:rStyle w:val="af0"/>
          <w:rFonts w:hint="eastAsia"/>
          <w:b w:val="0"/>
          <w:color w:val="404040"/>
          <w:shd w:val="clear" w:color="auto" w:fill="FFFFFF"/>
        </w:rPr>
      </w:pPr>
      <w:r w:rsidRPr="00460FC2">
        <w:rPr>
          <w:b/>
          <w:bCs/>
        </w:rPr>
        <w:t>Fig. S4</w:t>
      </w:r>
      <w:r w:rsidRPr="00460FC2">
        <w:t xml:space="preserve"> </w:t>
      </w:r>
      <w:r w:rsidRPr="00460FC2">
        <w:rPr>
          <w:rStyle w:val="af0"/>
          <w:rFonts w:eastAsia="Segoe UI"/>
          <w:b w:val="0"/>
          <w:color w:val="404040"/>
          <w:shd w:val="clear" w:color="auto" w:fill="FFFFFF"/>
        </w:rPr>
        <w:t>Stress-strain curve and elastic modulus of the PEI/TGIC blend at the optimized ratio of 3:1</w:t>
      </w:r>
    </w:p>
    <w:p w14:paraId="0FE7621F" w14:textId="77777777" w:rsidR="00DF4A8C" w:rsidRPr="00DF4A8C" w:rsidRDefault="00DF4A8C" w:rsidP="00581B55">
      <w:pPr>
        <w:spacing w:beforeLines="50" w:before="156" w:afterLines="50" w:after="156"/>
        <w:rPr>
          <w:rStyle w:val="af0"/>
          <w:b w:val="0"/>
          <w:color w:val="404040"/>
          <w:shd w:val="clear" w:color="auto" w:fill="FFFFFF"/>
        </w:rPr>
      </w:pPr>
    </w:p>
    <w:p w14:paraId="706C9B43" w14:textId="77777777" w:rsidR="00DF4A8C" w:rsidRPr="00DF4A8C" w:rsidRDefault="00FF77AA" w:rsidP="00581B55">
      <w:pPr>
        <w:spacing w:beforeLines="50" w:before="156" w:afterLines="50" w:after="156"/>
      </w:pPr>
      <w:r w:rsidRPr="00460FC2">
        <w:rPr>
          <w:noProof/>
        </w:rPr>
        <w:drawing>
          <wp:inline distT="0" distB="0" distL="114300" distR="114300" wp14:anchorId="7C4AB51C" wp14:editId="0EC24EA2">
            <wp:extent cx="5118996" cy="2688772"/>
            <wp:effectExtent l="0" t="0" r="5715" b="0"/>
            <wp:docPr id="1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3"/>
                    <pic:cNvPicPr>
                      <a:picLocks noChangeAspect="1"/>
                    </pic:cNvPicPr>
                  </pic:nvPicPr>
                  <pic:blipFill>
                    <a:blip r:embed="rId17"/>
                    <a:stretch>
                      <a:fillRect/>
                    </a:stretch>
                  </pic:blipFill>
                  <pic:spPr>
                    <a:xfrm>
                      <a:off x="0" y="0"/>
                      <a:ext cx="5120624" cy="2689627"/>
                    </a:xfrm>
                    <a:prstGeom prst="rect">
                      <a:avLst/>
                    </a:prstGeom>
                  </pic:spPr>
                </pic:pic>
              </a:graphicData>
            </a:graphic>
          </wp:inline>
        </w:drawing>
      </w:r>
    </w:p>
    <w:p w14:paraId="75244D16" w14:textId="7400B6A4" w:rsidR="00DF4A8C" w:rsidRPr="00464EFC" w:rsidRDefault="00FF77AA" w:rsidP="00581B55">
      <w:pPr>
        <w:spacing w:beforeLines="50" w:before="156" w:afterLines="50" w:after="156"/>
        <w:rPr>
          <w:rStyle w:val="af0"/>
          <w:rFonts w:hint="eastAsia"/>
          <w:b w:val="0"/>
          <w:color w:val="404040"/>
          <w:shd w:val="clear" w:color="auto" w:fill="FFFFFF"/>
        </w:rPr>
      </w:pPr>
      <w:r w:rsidRPr="00460FC2">
        <w:rPr>
          <w:b/>
          <w:bCs/>
        </w:rPr>
        <w:t>Fig. S5</w:t>
      </w:r>
      <w:r w:rsidRPr="00460FC2">
        <w:t xml:space="preserve"> </w:t>
      </w:r>
      <w:r w:rsidRPr="00460FC2">
        <w:rPr>
          <w:rStyle w:val="af0"/>
          <w:rFonts w:eastAsia="Segoe UI"/>
          <w:b w:val="0"/>
          <w:color w:val="404040"/>
          <w:shd w:val="clear" w:color="auto" w:fill="FFFFFF"/>
        </w:rPr>
        <w:t>Temporal evolution of the triboelectric output from the Auxetic-TENG under bending displacements ranging from 4 mm to 20 mm</w:t>
      </w:r>
    </w:p>
    <w:p w14:paraId="0CAE44F9" w14:textId="77777777" w:rsidR="00DF4A8C" w:rsidRPr="00DF4A8C" w:rsidRDefault="00DF4A8C" w:rsidP="00581B55">
      <w:pPr>
        <w:spacing w:beforeLines="50" w:before="156" w:afterLines="50" w:after="156"/>
        <w:jc w:val="center"/>
        <w:rPr>
          <w:rStyle w:val="af0"/>
          <w:b w:val="0"/>
          <w:color w:val="404040"/>
          <w:shd w:val="clear" w:color="auto" w:fill="FFFFFF"/>
        </w:rPr>
      </w:pPr>
    </w:p>
    <w:p w14:paraId="43398D76" w14:textId="77777777" w:rsidR="00DF4A8C" w:rsidRPr="00DF4A8C" w:rsidRDefault="00FF77AA" w:rsidP="00581B55">
      <w:pPr>
        <w:spacing w:beforeLines="50" w:before="156" w:afterLines="50" w:after="156"/>
        <w:jc w:val="center"/>
      </w:pPr>
      <w:r w:rsidRPr="00460FC2">
        <w:rPr>
          <w:noProof/>
        </w:rPr>
        <w:drawing>
          <wp:inline distT="0" distB="0" distL="114300" distR="114300" wp14:anchorId="4429DCFD" wp14:editId="0E4032FB">
            <wp:extent cx="3873985" cy="1356646"/>
            <wp:effectExtent l="0" t="0" r="0" b="0"/>
            <wp:docPr id="2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pic:cNvPicPr>
                      <a:picLocks noChangeAspect="1"/>
                    </pic:cNvPicPr>
                  </pic:nvPicPr>
                  <pic:blipFill>
                    <a:blip r:embed="rId18"/>
                    <a:stretch>
                      <a:fillRect/>
                    </a:stretch>
                  </pic:blipFill>
                  <pic:spPr>
                    <a:xfrm>
                      <a:off x="0" y="0"/>
                      <a:ext cx="3887949" cy="1361536"/>
                    </a:xfrm>
                    <a:prstGeom prst="rect">
                      <a:avLst/>
                    </a:prstGeom>
                  </pic:spPr>
                </pic:pic>
              </a:graphicData>
            </a:graphic>
          </wp:inline>
        </w:drawing>
      </w:r>
    </w:p>
    <w:p w14:paraId="764BF392" w14:textId="5A6BAB2F" w:rsidR="00DF4A8C" w:rsidRPr="00464EFC" w:rsidRDefault="00FF77AA" w:rsidP="00581B55">
      <w:pPr>
        <w:spacing w:beforeLines="50" w:before="156" w:afterLines="50" w:after="156"/>
        <w:rPr>
          <w:rFonts w:hint="eastAsia"/>
        </w:rPr>
      </w:pPr>
      <w:r w:rsidRPr="00460FC2">
        <w:rPr>
          <w:b/>
          <w:bCs/>
        </w:rPr>
        <w:t xml:space="preserve">Fig. S6 </w:t>
      </w:r>
      <w:r w:rsidRPr="00460FC2">
        <w:rPr>
          <w:rStyle w:val="af0"/>
          <w:rFonts w:eastAsia="Segoe UI"/>
          <w:b w:val="0"/>
          <w:color w:val="404040"/>
          <w:shd w:val="clear" w:color="auto" w:fill="FFFFFF"/>
        </w:rPr>
        <w:t>Conversion of applied mechanical energy into triboelectric output in the Auxetic-TENG during contact-separation and bending modes for signal discrimination and light emission applications</w:t>
      </w:r>
    </w:p>
    <w:p w14:paraId="5ACC29BD" w14:textId="77777777" w:rsidR="00DF4A8C" w:rsidRPr="00DF4A8C" w:rsidRDefault="00DF4A8C" w:rsidP="00581B55">
      <w:pPr>
        <w:spacing w:beforeLines="50" w:before="156" w:afterLines="50" w:after="156"/>
      </w:pPr>
    </w:p>
    <w:p w14:paraId="339B113D" w14:textId="77777777" w:rsidR="00DF4A8C" w:rsidRPr="00DF4A8C" w:rsidRDefault="00FF77AA" w:rsidP="00581B55">
      <w:pPr>
        <w:spacing w:beforeLines="50" w:before="156" w:afterLines="50" w:after="156"/>
        <w:jc w:val="center"/>
      </w:pPr>
      <w:r w:rsidRPr="00460FC2">
        <w:rPr>
          <w:noProof/>
        </w:rPr>
        <w:drawing>
          <wp:inline distT="0" distB="0" distL="114300" distR="114300" wp14:anchorId="152C920E" wp14:editId="5D6CA430">
            <wp:extent cx="4125270" cy="1773915"/>
            <wp:effectExtent l="0" t="0" r="8890" b="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19"/>
                    <a:stretch>
                      <a:fillRect/>
                    </a:stretch>
                  </pic:blipFill>
                  <pic:spPr>
                    <a:xfrm>
                      <a:off x="0" y="0"/>
                      <a:ext cx="4145550" cy="1782636"/>
                    </a:xfrm>
                    <a:prstGeom prst="rect">
                      <a:avLst/>
                    </a:prstGeom>
                  </pic:spPr>
                </pic:pic>
              </a:graphicData>
            </a:graphic>
          </wp:inline>
        </w:drawing>
      </w:r>
    </w:p>
    <w:p w14:paraId="63CF3EE5" w14:textId="6F9322C8" w:rsidR="00DF4A8C" w:rsidRPr="00464EFC" w:rsidRDefault="00FF77AA" w:rsidP="00581B55">
      <w:pPr>
        <w:spacing w:beforeLines="50" w:before="156" w:afterLines="50" w:after="156"/>
        <w:rPr>
          <w:rStyle w:val="af0"/>
          <w:rFonts w:hint="eastAsia"/>
          <w:b w:val="0"/>
          <w:color w:val="404040"/>
          <w:shd w:val="clear" w:color="auto" w:fill="FFFFFF"/>
        </w:rPr>
      </w:pPr>
      <w:r w:rsidRPr="00460FC2">
        <w:rPr>
          <w:b/>
          <w:bCs/>
        </w:rPr>
        <w:t>Fig. S7</w:t>
      </w:r>
      <w:r w:rsidRPr="00460FC2">
        <w:t xml:space="preserve"> </w:t>
      </w:r>
      <w:r w:rsidRPr="00460FC2">
        <w:rPr>
          <w:rStyle w:val="af0"/>
          <w:rFonts w:eastAsia="Segoe UI"/>
          <w:b w:val="0"/>
          <w:color w:val="404040"/>
          <w:shd w:val="clear" w:color="auto" w:fill="FFFFFF"/>
        </w:rPr>
        <w:t>Charging characteristics of the Auxetic-TENG: (</w:t>
      </w:r>
      <w:r w:rsidRPr="00464EFC">
        <w:rPr>
          <w:rStyle w:val="af0"/>
          <w:rFonts w:eastAsia="Segoe UI"/>
          <w:bCs/>
          <w:color w:val="404040"/>
          <w:shd w:val="clear" w:color="auto" w:fill="FFFFFF"/>
        </w:rPr>
        <w:t>a</w:t>
      </w:r>
      <w:r w:rsidRPr="00460FC2">
        <w:rPr>
          <w:rStyle w:val="af0"/>
          <w:rFonts w:eastAsia="Segoe UI"/>
          <w:b w:val="0"/>
          <w:color w:val="404040"/>
          <w:shd w:val="clear" w:color="auto" w:fill="FFFFFF"/>
        </w:rPr>
        <w:t>) Charging capacitors of different capacitances (4.7 µF, 10 µF, 22 µF, 33 µF, 47 µF) to saturation; (</w:t>
      </w:r>
      <w:r w:rsidRPr="00464EFC">
        <w:rPr>
          <w:rStyle w:val="af0"/>
          <w:rFonts w:eastAsia="Segoe UI"/>
          <w:bCs/>
          <w:color w:val="404040"/>
          <w:shd w:val="clear" w:color="auto" w:fill="FFFFFF"/>
        </w:rPr>
        <w:t>b</w:t>
      </w:r>
      <w:r w:rsidRPr="00460FC2">
        <w:rPr>
          <w:rStyle w:val="af0"/>
          <w:rFonts w:eastAsia="Segoe UI"/>
          <w:b w:val="0"/>
          <w:color w:val="404040"/>
          <w:shd w:val="clear" w:color="auto" w:fill="FFFFFF"/>
        </w:rPr>
        <w:t>) Charging a 33 µF capacitor at different operating frequencies (0.5 Hz, 1 Hz, 2 Hz, 4 Hz, 8 Hz)</w:t>
      </w:r>
    </w:p>
    <w:p w14:paraId="20ACCFE7" w14:textId="77777777" w:rsidR="00DF4A8C" w:rsidRPr="00DF4A8C" w:rsidRDefault="00DF4A8C" w:rsidP="00581B55">
      <w:pPr>
        <w:spacing w:beforeLines="50" w:before="156" w:afterLines="50" w:after="156"/>
      </w:pPr>
    </w:p>
    <w:p w14:paraId="3268DF1C" w14:textId="77777777" w:rsidR="00DF4A8C" w:rsidRPr="00DF4A8C" w:rsidRDefault="00FF77AA" w:rsidP="00581B55">
      <w:pPr>
        <w:spacing w:beforeLines="50" w:before="156" w:afterLines="50" w:after="156"/>
        <w:jc w:val="center"/>
      </w:pPr>
      <w:r w:rsidRPr="00460FC2">
        <w:rPr>
          <w:noProof/>
        </w:rPr>
        <w:drawing>
          <wp:inline distT="0" distB="0" distL="114300" distR="114300" wp14:anchorId="19732E64" wp14:editId="72B74B2C">
            <wp:extent cx="2387212" cy="1879305"/>
            <wp:effectExtent l="0" t="0" r="0" b="6985"/>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20"/>
                    <a:stretch>
                      <a:fillRect/>
                    </a:stretch>
                  </pic:blipFill>
                  <pic:spPr>
                    <a:xfrm>
                      <a:off x="0" y="0"/>
                      <a:ext cx="2392821" cy="1883721"/>
                    </a:xfrm>
                    <a:prstGeom prst="rect">
                      <a:avLst/>
                    </a:prstGeom>
                  </pic:spPr>
                </pic:pic>
              </a:graphicData>
            </a:graphic>
          </wp:inline>
        </w:drawing>
      </w:r>
    </w:p>
    <w:p w14:paraId="5865AA41" w14:textId="7AAA4465" w:rsidR="00DF4A8C" w:rsidRDefault="00FF77AA" w:rsidP="00581B55">
      <w:pPr>
        <w:spacing w:beforeLines="50" w:before="156" w:afterLines="50" w:after="156"/>
        <w:rPr>
          <w:rStyle w:val="af0"/>
          <w:b w:val="0"/>
          <w:color w:val="404040"/>
          <w:shd w:val="clear" w:color="auto" w:fill="FFFFFF"/>
        </w:rPr>
      </w:pPr>
      <w:r w:rsidRPr="00460FC2">
        <w:rPr>
          <w:b/>
          <w:bCs/>
        </w:rPr>
        <w:t xml:space="preserve">Fig. S8 </w:t>
      </w:r>
      <w:r w:rsidRPr="00460FC2">
        <w:rPr>
          <w:rStyle w:val="af0"/>
          <w:rFonts w:eastAsia="Segoe UI"/>
          <w:b w:val="0"/>
          <w:color w:val="404040"/>
          <w:shd w:val="clear" w:color="auto" w:fill="FFFFFF"/>
        </w:rPr>
        <w:t>Charging and discharging of a timer by the Auxetic-TENG</w:t>
      </w:r>
    </w:p>
    <w:p w14:paraId="4797F67D" w14:textId="77777777" w:rsidR="00464EFC" w:rsidRPr="00464EFC" w:rsidRDefault="00464EFC" w:rsidP="00581B55">
      <w:pPr>
        <w:spacing w:beforeLines="50" w:before="156" w:afterLines="50" w:after="156"/>
        <w:rPr>
          <w:rStyle w:val="af0"/>
          <w:rFonts w:hint="eastAsia"/>
          <w:b w:val="0"/>
          <w:color w:val="404040"/>
          <w:shd w:val="clear" w:color="auto" w:fill="FFFFFF"/>
        </w:rPr>
      </w:pPr>
    </w:p>
    <w:p w14:paraId="5A3CE145" w14:textId="77777777" w:rsidR="00DF4A8C" w:rsidRPr="00DF4A8C" w:rsidRDefault="00FF77AA" w:rsidP="00581B55">
      <w:pPr>
        <w:spacing w:beforeLines="50" w:before="156" w:afterLines="50" w:after="156"/>
        <w:jc w:val="center"/>
      </w:pPr>
      <w:r w:rsidRPr="00460FC2">
        <w:rPr>
          <w:noProof/>
        </w:rPr>
        <w:drawing>
          <wp:inline distT="0" distB="0" distL="114300" distR="114300" wp14:anchorId="66E13E46" wp14:editId="1D9C1E9B">
            <wp:extent cx="2168988" cy="2057400"/>
            <wp:effectExtent l="0" t="0" r="3175"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21"/>
                    <a:srcRect l="31552" t="22746" r="30561" b="42550"/>
                    <a:stretch>
                      <a:fillRect/>
                    </a:stretch>
                  </pic:blipFill>
                  <pic:spPr>
                    <a:xfrm>
                      <a:off x="0" y="0"/>
                      <a:ext cx="2171593" cy="2059871"/>
                    </a:xfrm>
                    <a:prstGeom prst="snip1Rect">
                      <a:avLst/>
                    </a:prstGeom>
                    <a:noFill/>
                    <a:ln>
                      <a:noFill/>
                    </a:ln>
                  </pic:spPr>
                </pic:pic>
              </a:graphicData>
            </a:graphic>
          </wp:inline>
        </w:drawing>
      </w:r>
    </w:p>
    <w:p w14:paraId="114370D3" w14:textId="094EE698" w:rsidR="00DF4A8C" w:rsidRPr="00464EFC" w:rsidRDefault="00FF77AA" w:rsidP="00581B55">
      <w:pPr>
        <w:spacing w:beforeLines="50" w:before="156" w:afterLines="50" w:after="156"/>
        <w:rPr>
          <w:rStyle w:val="af0"/>
          <w:rFonts w:hint="eastAsia"/>
          <w:b w:val="0"/>
          <w:color w:val="404040"/>
          <w:shd w:val="clear" w:color="auto" w:fill="FFFFFF"/>
        </w:rPr>
      </w:pPr>
      <w:r w:rsidRPr="00460FC2">
        <w:rPr>
          <w:b/>
          <w:bCs/>
        </w:rPr>
        <w:t xml:space="preserve">Fig. S9 </w:t>
      </w:r>
      <w:r w:rsidRPr="00460FC2">
        <w:rPr>
          <w:rStyle w:val="af0"/>
          <w:rFonts w:eastAsia="Segoe UI"/>
          <w:b w:val="0"/>
          <w:color w:val="404040"/>
          <w:shd w:val="clear" w:color="auto" w:fill="FFFFFF"/>
        </w:rPr>
        <w:t>Powering of 44 light-emitting diodes (LEDs) by the Auxetic-TENG</w:t>
      </w:r>
    </w:p>
    <w:p w14:paraId="634C00A1" w14:textId="77777777" w:rsidR="00DF4A8C" w:rsidRPr="00DF4A8C" w:rsidRDefault="00DF4A8C" w:rsidP="00581B55">
      <w:pPr>
        <w:spacing w:beforeLines="50" w:before="156" w:afterLines="50" w:after="156"/>
      </w:pPr>
    </w:p>
    <w:p w14:paraId="08334FF9" w14:textId="77777777" w:rsidR="00DF4A8C" w:rsidRPr="00DF4A8C" w:rsidRDefault="00FF77AA" w:rsidP="00581B55">
      <w:pPr>
        <w:spacing w:beforeLines="50" w:before="156" w:afterLines="50" w:after="156"/>
      </w:pPr>
      <w:r w:rsidRPr="00460FC2">
        <w:rPr>
          <w:noProof/>
        </w:rPr>
        <w:drawing>
          <wp:inline distT="0" distB="0" distL="114300" distR="114300" wp14:anchorId="3EDBDD90" wp14:editId="2CF2D4BE">
            <wp:extent cx="5156514" cy="1099457"/>
            <wp:effectExtent l="0" t="0" r="6350" b="5715"/>
            <wp:docPr id="1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pic:cNvPicPr>
                      <a:picLocks noChangeAspect="1"/>
                    </pic:cNvPicPr>
                  </pic:nvPicPr>
                  <pic:blipFill>
                    <a:blip r:embed="rId22"/>
                    <a:stretch>
                      <a:fillRect/>
                    </a:stretch>
                  </pic:blipFill>
                  <pic:spPr>
                    <a:xfrm>
                      <a:off x="0" y="0"/>
                      <a:ext cx="5188269" cy="1106228"/>
                    </a:xfrm>
                    <a:prstGeom prst="rect">
                      <a:avLst/>
                    </a:prstGeom>
                  </pic:spPr>
                </pic:pic>
              </a:graphicData>
            </a:graphic>
          </wp:inline>
        </w:drawing>
      </w:r>
    </w:p>
    <w:p w14:paraId="2E4F5F22" w14:textId="32F1173B" w:rsidR="00DF4A8C" w:rsidRPr="00464EFC" w:rsidRDefault="00FF77AA" w:rsidP="00581B55">
      <w:pPr>
        <w:spacing w:beforeLines="50" w:before="156" w:afterLines="50" w:after="156"/>
        <w:rPr>
          <w:rFonts w:hint="eastAsia"/>
        </w:rPr>
      </w:pPr>
      <w:r w:rsidRPr="00460FC2">
        <w:rPr>
          <w:b/>
          <w:bCs/>
        </w:rPr>
        <w:t>Fig. S10</w:t>
      </w:r>
      <w:r w:rsidRPr="00460FC2">
        <w:t xml:space="preserve"> </w:t>
      </w:r>
      <w:r w:rsidRPr="00460FC2">
        <w:rPr>
          <w:rStyle w:val="af0"/>
          <w:rFonts w:eastAsia="Segoe UI"/>
          <w:b w:val="0"/>
          <w:color w:val="404040"/>
          <w:shd w:val="clear" w:color="auto" w:fill="FFFFFF"/>
        </w:rPr>
        <w:t>Stability of the Auxetic-TENG's output signal during continuous operation for 1 h</w:t>
      </w:r>
    </w:p>
    <w:p w14:paraId="6CCC5A94" w14:textId="77777777" w:rsidR="00DF4A8C" w:rsidRPr="00DF4A8C" w:rsidRDefault="007318B0" w:rsidP="00581B55">
      <w:pPr>
        <w:spacing w:beforeLines="50" w:before="156" w:afterLines="50" w:after="156"/>
        <w:jc w:val="center"/>
        <w:rPr>
          <w:b/>
          <w:bCs/>
        </w:rPr>
      </w:pPr>
      <w:r w:rsidRPr="005668D0">
        <w:rPr>
          <w:b/>
          <w:bCs/>
          <w:noProof/>
        </w:rPr>
        <w:drawing>
          <wp:inline distT="0" distB="0" distL="0" distR="0" wp14:anchorId="6EA61CAF" wp14:editId="65E4BAC9">
            <wp:extent cx="4757379" cy="2071687"/>
            <wp:effectExtent l="0" t="0" r="5715" b="0"/>
            <wp:docPr id="40" name="图片 39">
              <a:extLst xmlns:a="http://schemas.openxmlformats.org/drawingml/2006/main">
                <a:ext uri="{FF2B5EF4-FFF2-40B4-BE49-F238E27FC236}">
                  <a16:creationId xmlns:a16="http://schemas.microsoft.com/office/drawing/2014/main" id="{A2DC0B79-874D-BDCB-2133-FC746F9698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9">
                      <a:extLst>
                        <a:ext uri="{FF2B5EF4-FFF2-40B4-BE49-F238E27FC236}">
                          <a16:creationId xmlns:a16="http://schemas.microsoft.com/office/drawing/2014/main" id="{A2DC0B79-874D-BDCB-2133-FC746F969854}"/>
                        </a:ext>
                      </a:extLst>
                    </pic:cNvPr>
                    <pic:cNvPicPr>
                      <a:picLocks noChangeAspect="1"/>
                    </pic:cNvPicPr>
                  </pic:nvPicPr>
                  <pic:blipFill>
                    <a:blip r:embed="rId23"/>
                    <a:stretch>
                      <a:fillRect/>
                    </a:stretch>
                  </pic:blipFill>
                  <pic:spPr>
                    <a:xfrm>
                      <a:off x="0" y="0"/>
                      <a:ext cx="4774859" cy="2079299"/>
                    </a:xfrm>
                    <a:prstGeom prst="rect">
                      <a:avLst/>
                    </a:prstGeom>
                  </pic:spPr>
                </pic:pic>
              </a:graphicData>
            </a:graphic>
          </wp:inline>
        </w:drawing>
      </w:r>
    </w:p>
    <w:p w14:paraId="20414235" w14:textId="2DFA766B" w:rsidR="00DF4A8C" w:rsidRPr="00DF4A8C" w:rsidRDefault="007318B0" w:rsidP="00581B55">
      <w:pPr>
        <w:spacing w:beforeLines="50" w:before="156" w:afterLines="50" w:after="156"/>
        <w:rPr>
          <w:b/>
          <w:bCs/>
        </w:rPr>
      </w:pPr>
      <w:r w:rsidRPr="005668D0">
        <w:rPr>
          <w:b/>
          <w:bCs/>
        </w:rPr>
        <w:t>Fig. S1</w:t>
      </w:r>
      <w:r>
        <w:rPr>
          <w:rFonts w:hint="eastAsia"/>
          <w:b/>
          <w:bCs/>
        </w:rPr>
        <w:t>1</w:t>
      </w:r>
      <w:r w:rsidRPr="005668D0">
        <w:rPr>
          <w:b/>
          <w:bCs/>
        </w:rPr>
        <w:t xml:space="preserve"> </w:t>
      </w:r>
      <w:r w:rsidRPr="005668D0">
        <w:t xml:space="preserve">Operational Stability of Auxetic-TENG. </w:t>
      </w:r>
      <w:r w:rsidRPr="00862AA2">
        <w:t>(</w:t>
      </w:r>
      <w:r w:rsidRPr="00464EFC">
        <w:rPr>
          <w:b/>
          <w:bCs/>
        </w:rPr>
        <w:t>a</w:t>
      </w:r>
      <w:r w:rsidRPr="00862AA2">
        <w:t>) Mechanical durability of the negative Poisson's ratio structure after 50 tensile cycles</w:t>
      </w:r>
      <w:r w:rsidRPr="005668D0">
        <w:t>. (</w:t>
      </w:r>
      <w:r w:rsidRPr="00464EFC">
        <w:rPr>
          <w:b/>
          <w:bCs/>
        </w:rPr>
        <w:t>b</w:t>
      </w:r>
      <w:r w:rsidRPr="005668D0">
        <w:t>) Operational stability after 1000 bending cycles of Auxetic-TENG</w:t>
      </w:r>
    </w:p>
    <w:p w14:paraId="02959D63" w14:textId="77777777" w:rsidR="00DF4A8C" w:rsidRPr="00DF4A8C" w:rsidRDefault="00DF4A8C" w:rsidP="00581B55">
      <w:pPr>
        <w:spacing w:beforeLines="50" w:before="156" w:afterLines="50" w:after="156"/>
        <w:jc w:val="center"/>
      </w:pPr>
    </w:p>
    <w:p w14:paraId="270FCAAC" w14:textId="77777777" w:rsidR="00DF4A8C" w:rsidRPr="00DF4A8C" w:rsidRDefault="00FF77AA" w:rsidP="00581B55">
      <w:pPr>
        <w:spacing w:beforeLines="50" w:before="156" w:afterLines="50" w:after="156"/>
        <w:jc w:val="center"/>
      </w:pPr>
      <w:r w:rsidRPr="00460FC2">
        <w:rPr>
          <w:noProof/>
        </w:rPr>
        <w:drawing>
          <wp:inline distT="0" distB="0" distL="0" distR="0" wp14:anchorId="056B231A" wp14:editId="30A94301">
            <wp:extent cx="2463642" cy="2109787"/>
            <wp:effectExtent l="0" t="0" r="0" b="5080"/>
            <wp:docPr id="1585913653" name="图片 3">
              <a:extLst xmlns:a="http://schemas.openxmlformats.org/drawingml/2006/main">
                <a:ext uri="{FF2B5EF4-FFF2-40B4-BE49-F238E27FC236}">
                  <a16:creationId xmlns:a16="http://schemas.microsoft.com/office/drawing/2014/main" id="{121C3EEF-7413-9E7A-C5AA-30CB2F5AB8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a:extLst>
                        <a:ext uri="{FF2B5EF4-FFF2-40B4-BE49-F238E27FC236}">
                          <a16:creationId xmlns:a16="http://schemas.microsoft.com/office/drawing/2014/main" id="{121C3EEF-7413-9E7A-C5AA-30CB2F5AB807}"/>
                        </a:ext>
                      </a:extLst>
                    </pic:cNvPr>
                    <pic:cNvPicPr>
                      <a:picLocks noChangeAspect="1"/>
                    </pic:cNvPicPr>
                  </pic:nvPicPr>
                  <pic:blipFill>
                    <a:blip r:embed="rId24"/>
                    <a:stretch>
                      <a:fillRect/>
                    </a:stretch>
                  </pic:blipFill>
                  <pic:spPr>
                    <a:xfrm>
                      <a:off x="0" y="0"/>
                      <a:ext cx="2495838" cy="2137359"/>
                    </a:xfrm>
                    <a:prstGeom prst="rect">
                      <a:avLst/>
                    </a:prstGeom>
                  </pic:spPr>
                </pic:pic>
              </a:graphicData>
            </a:graphic>
          </wp:inline>
        </w:drawing>
      </w:r>
    </w:p>
    <w:p w14:paraId="385B7606" w14:textId="77777777" w:rsidR="00DF4A8C" w:rsidRPr="00DF4A8C" w:rsidRDefault="00FF77AA" w:rsidP="00581B55">
      <w:pPr>
        <w:spacing w:beforeLines="50" w:before="156" w:afterLines="50" w:after="156"/>
      </w:pPr>
      <w:r w:rsidRPr="00460FC2">
        <w:rPr>
          <w:b/>
          <w:bCs/>
        </w:rPr>
        <w:t>Fig.</w:t>
      </w:r>
      <w:r w:rsidR="007318B0">
        <w:rPr>
          <w:rFonts w:hint="eastAsia"/>
          <w:b/>
          <w:bCs/>
        </w:rPr>
        <w:t xml:space="preserve"> </w:t>
      </w:r>
      <w:r w:rsidRPr="00460FC2">
        <w:rPr>
          <w:b/>
          <w:bCs/>
        </w:rPr>
        <w:t>S1</w:t>
      </w:r>
      <w:r w:rsidR="007318B0">
        <w:rPr>
          <w:rFonts w:hint="eastAsia"/>
          <w:b/>
          <w:bCs/>
        </w:rPr>
        <w:t>2</w:t>
      </w:r>
      <w:r w:rsidRPr="00460FC2">
        <w:rPr>
          <w:b/>
          <w:bCs/>
        </w:rPr>
        <w:t xml:space="preserve"> </w:t>
      </w:r>
      <w:r w:rsidRPr="00460FC2">
        <w:t>The learning loss of FCNN varying over time</w:t>
      </w:r>
    </w:p>
    <w:p w14:paraId="27CB843F" w14:textId="77777777" w:rsidR="00DF4A8C" w:rsidRPr="00DF4A8C" w:rsidRDefault="00DF4A8C" w:rsidP="00581B55">
      <w:pPr>
        <w:spacing w:beforeLines="50" w:before="156" w:afterLines="50" w:after="156"/>
      </w:pPr>
    </w:p>
    <w:p w14:paraId="387A056A" w14:textId="77777777" w:rsidR="00DF4A8C" w:rsidRPr="00DF4A8C" w:rsidRDefault="00DC687B" w:rsidP="00581B55">
      <w:pPr>
        <w:spacing w:beforeLines="50" w:before="156" w:afterLines="50" w:after="156"/>
        <w:jc w:val="center"/>
      </w:pPr>
      <w:r w:rsidRPr="00460FC2">
        <w:rPr>
          <w:noProof/>
        </w:rPr>
        <w:drawing>
          <wp:inline distT="0" distB="0" distL="0" distR="0" wp14:anchorId="27D546FE" wp14:editId="335634F4">
            <wp:extent cx="3843338" cy="1764156"/>
            <wp:effectExtent l="0" t="0" r="5080" b="7620"/>
            <wp:docPr id="35954672" name="图片 8">
              <a:extLst xmlns:a="http://schemas.openxmlformats.org/drawingml/2006/main">
                <a:ext uri="{FF2B5EF4-FFF2-40B4-BE49-F238E27FC236}">
                  <a16:creationId xmlns:a16="http://schemas.microsoft.com/office/drawing/2014/main" id="{1E688E92-39C5-4612-5CD6-DA30A0ACFA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a:extLst>
                        <a:ext uri="{FF2B5EF4-FFF2-40B4-BE49-F238E27FC236}">
                          <a16:creationId xmlns:a16="http://schemas.microsoft.com/office/drawing/2014/main" id="{1E688E92-39C5-4612-5CD6-DA30A0ACFAC6}"/>
                        </a:ext>
                      </a:extLst>
                    </pic:cNvPr>
                    <pic:cNvPicPr>
                      <a:picLocks noChangeAspect="1"/>
                    </pic:cNvPicPr>
                  </pic:nvPicPr>
                  <pic:blipFill>
                    <a:blip r:embed="rId25"/>
                    <a:stretch>
                      <a:fillRect/>
                    </a:stretch>
                  </pic:blipFill>
                  <pic:spPr>
                    <a:xfrm>
                      <a:off x="0" y="0"/>
                      <a:ext cx="3874206" cy="1778325"/>
                    </a:xfrm>
                    <a:prstGeom prst="rect">
                      <a:avLst/>
                    </a:prstGeom>
                  </pic:spPr>
                </pic:pic>
              </a:graphicData>
            </a:graphic>
          </wp:inline>
        </w:drawing>
      </w:r>
    </w:p>
    <w:p w14:paraId="5D22ECD8" w14:textId="34CC47CE" w:rsidR="00DF4A8C" w:rsidRPr="00DF4A8C" w:rsidRDefault="00DC687B" w:rsidP="00581B55">
      <w:pPr>
        <w:spacing w:beforeLines="50" w:before="156" w:afterLines="50" w:after="156"/>
      </w:pPr>
      <w:r w:rsidRPr="00460FC2">
        <w:rPr>
          <w:b/>
          <w:bCs/>
        </w:rPr>
        <w:t>Fig.</w:t>
      </w:r>
      <w:r w:rsidR="007318B0">
        <w:rPr>
          <w:rFonts w:hint="eastAsia"/>
          <w:b/>
          <w:bCs/>
        </w:rPr>
        <w:t xml:space="preserve"> </w:t>
      </w:r>
      <w:r w:rsidRPr="00460FC2">
        <w:rPr>
          <w:b/>
          <w:bCs/>
        </w:rPr>
        <w:t>S1</w:t>
      </w:r>
      <w:r w:rsidR="007318B0">
        <w:rPr>
          <w:rFonts w:hint="eastAsia"/>
          <w:b/>
          <w:bCs/>
        </w:rPr>
        <w:t>3</w:t>
      </w:r>
      <w:r w:rsidRPr="00460FC2">
        <w:rPr>
          <w:b/>
          <w:bCs/>
        </w:rPr>
        <w:t xml:space="preserve"> </w:t>
      </w:r>
      <w:r w:rsidR="00E2389F" w:rsidRPr="00460FC2">
        <w:t>Infrared spectra of the positive tribo-material</w:t>
      </w:r>
      <w:r w:rsidR="00464EFC">
        <w:rPr>
          <w:rFonts w:hint="eastAsia"/>
        </w:rPr>
        <w:t xml:space="preserve"> </w:t>
      </w:r>
      <w:r w:rsidR="00B7443B" w:rsidRPr="00460FC2">
        <w:t>(CA/PEI)</w:t>
      </w:r>
      <w:r w:rsidR="00E2389F" w:rsidRPr="00460FC2">
        <w:t xml:space="preserve"> of the Auxetic-TENG at different modification ratios</w:t>
      </w:r>
    </w:p>
    <w:p w14:paraId="65D75144" w14:textId="77777777" w:rsidR="00DF4A8C" w:rsidRPr="00DF4A8C" w:rsidRDefault="00DC687B" w:rsidP="00581B55">
      <w:pPr>
        <w:spacing w:beforeLines="50" w:before="156" w:afterLines="50" w:after="156"/>
        <w:jc w:val="center"/>
      </w:pPr>
      <w:r w:rsidRPr="00460FC2">
        <w:rPr>
          <w:noProof/>
        </w:rPr>
        <w:drawing>
          <wp:inline distT="0" distB="0" distL="0" distR="0" wp14:anchorId="3E23795E" wp14:editId="510A3830">
            <wp:extent cx="4416660" cy="1947863"/>
            <wp:effectExtent l="0" t="0" r="3175" b="0"/>
            <wp:docPr id="207610145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44810" cy="1960278"/>
                    </a:xfrm>
                    <a:prstGeom prst="rect">
                      <a:avLst/>
                    </a:prstGeom>
                    <a:noFill/>
                  </pic:spPr>
                </pic:pic>
              </a:graphicData>
            </a:graphic>
          </wp:inline>
        </w:drawing>
      </w:r>
    </w:p>
    <w:p w14:paraId="2D9766BB" w14:textId="77777777" w:rsidR="00464EFC" w:rsidRDefault="00DC687B" w:rsidP="00464EFC">
      <w:pPr>
        <w:spacing w:beforeLines="50" w:before="156" w:afterLines="50" w:after="156"/>
        <w:rPr>
          <w:shd w:val="clear" w:color="auto" w:fill="FFFFFF"/>
        </w:rPr>
      </w:pPr>
      <w:r w:rsidRPr="00460FC2">
        <w:rPr>
          <w:b/>
          <w:bCs/>
        </w:rPr>
        <w:t>Fig.</w:t>
      </w:r>
      <w:r w:rsidR="007318B0">
        <w:rPr>
          <w:rFonts w:hint="eastAsia"/>
          <w:b/>
          <w:bCs/>
        </w:rPr>
        <w:t xml:space="preserve"> </w:t>
      </w:r>
      <w:r w:rsidRPr="00460FC2">
        <w:rPr>
          <w:b/>
          <w:bCs/>
        </w:rPr>
        <w:t>S1</w:t>
      </w:r>
      <w:r w:rsidR="007318B0">
        <w:rPr>
          <w:rFonts w:hint="eastAsia"/>
          <w:b/>
          <w:bCs/>
        </w:rPr>
        <w:t>4</w:t>
      </w:r>
      <w:r w:rsidRPr="00460FC2">
        <w:rPr>
          <w:b/>
          <w:bCs/>
        </w:rPr>
        <w:t xml:space="preserve"> </w:t>
      </w:r>
      <w:r w:rsidR="00E2389F" w:rsidRPr="00460FC2">
        <w:rPr>
          <w:b/>
          <w:bCs/>
        </w:rPr>
        <w:t xml:space="preserve">a </w:t>
      </w:r>
      <w:r w:rsidR="00E2389F" w:rsidRPr="00460FC2">
        <w:rPr>
          <w:shd w:val="clear" w:color="auto" w:fill="FFFFFF"/>
        </w:rPr>
        <w:t>Raman point mapping analysis of PEI and TGIC.</w:t>
      </w:r>
      <w:r w:rsidR="00E2389F" w:rsidRPr="00460FC2">
        <w:rPr>
          <w:rFonts w:eastAsia="宋体"/>
          <w:shd w:val="clear" w:color="auto" w:fill="FFFFFF"/>
        </w:rPr>
        <w:t xml:space="preserve"> </w:t>
      </w:r>
      <w:r w:rsidR="00E2389F" w:rsidRPr="00460FC2">
        <w:rPr>
          <w:rStyle w:val="af0"/>
          <w:bCs/>
          <w:color w:val="404040"/>
          <w:shd w:val="clear" w:color="auto" w:fill="FFFFFF"/>
        </w:rPr>
        <w:t>b</w:t>
      </w:r>
      <w:r w:rsidR="00E2389F" w:rsidRPr="00460FC2">
        <w:rPr>
          <w:shd w:val="clear" w:color="auto" w:fill="FFFFFF"/>
        </w:rPr>
        <w:t xml:space="preserve"> Raman point mapping of CA/PEI at different blend ratios</w:t>
      </w:r>
    </w:p>
    <w:p w14:paraId="1F496BF9" w14:textId="4EAF13CC" w:rsidR="00DF4A8C" w:rsidRPr="00DF4A8C" w:rsidRDefault="001002CE" w:rsidP="00464EFC">
      <w:pPr>
        <w:spacing w:beforeLines="50" w:before="156" w:afterLines="50" w:after="156"/>
        <w:jc w:val="center"/>
      </w:pPr>
      <w:r w:rsidRPr="00460FC2">
        <w:rPr>
          <w:noProof/>
        </w:rPr>
        <w:drawing>
          <wp:inline distT="0" distB="0" distL="0" distR="0" wp14:anchorId="26EEB0E5" wp14:editId="50258A62">
            <wp:extent cx="3301613" cy="1518056"/>
            <wp:effectExtent l="0" t="0" r="0" b="6350"/>
            <wp:docPr id="96102797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r="51060"/>
                    <a:stretch/>
                  </pic:blipFill>
                  <pic:spPr bwMode="auto">
                    <a:xfrm>
                      <a:off x="0" y="0"/>
                      <a:ext cx="3363888" cy="1546690"/>
                    </a:xfrm>
                    <a:prstGeom prst="rect">
                      <a:avLst/>
                    </a:prstGeom>
                    <a:noFill/>
                    <a:ln>
                      <a:noFill/>
                    </a:ln>
                    <a:extLst>
                      <a:ext uri="{53640926-AAD7-44D8-BBD7-CCE9431645EC}">
                        <a14:shadowObscured xmlns:a14="http://schemas.microsoft.com/office/drawing/2010/main"/>
                      </a:ext>
                    </a:extLst>
                  </pic:spPr>
                </pic:pic>
              </a:graphicData>
            </a:graphic>
          </wp:inline>
        </w:drawing>
      </w:r>
      <w:r w:rsidR="00E2389F" w:rsidRPr="00460FC2">
        <w:rPr>
          <w:noProof/>
        </w:rPr>
        <w:drawing>
          <wp:inline distT="0" distB="0" distL="0" distR="0" wp14:anchorId="0AAD9E0F" wp14:editId="3C7C7D93">
            <wp:extent cx="3301612" cy="1450423"/>
            <wp:effectExtent l="0" t="0" r="0" b="0"/>
            <wp:docPr id="46492652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48991" r="-214"/>
                    <a:stretch/>
                  </pic:blipFill>
                  <pic:spPr bwMode="auto">
                    <a:xfrm>
                      <a:off x="0" y="0"/>
                      <a:ext cx="3402873" cy="1494908"/>
                    </a:xfrm>
                    <a:prstGeom prst="rect">
                      <a:avLst/>
                    </a:prstGeom>
                    <a:noFill/>
                    <a:ln>
                      <a:noFill/>
                    </a:ln>
                    <a:extLst>
                      <a:ext uri="{53640926-AAD7-44D8-BBD7-CCE9431645EC}">
                        <a14:shadowObscured xmlns:a14="http://schemas.microsoft.com/office/drawing/2010/main"/>
                      </a:ext>
                    </a:extLst>
                  </pic:spPr>
                </pic:pic>
              </a:graphicData>
            </a:graphic>
          </wp:inline>
        </w:drawing>
      </w:r>
    </w:p>
    <w:p w14:paraId="7FDF7482" w14:textId="244CE3CF" w:rsidR="00DF4A8C" w:rsidRPr="00DF4A8C" w:rsidRDefault="00E2389F" w:rsidP="00581B55">
      <w:pPr>
        <w:spacing w:beforeLines="50" w:before="156" w:afterLines="50" w:after="156"/>
      </w:pPr>
      <w:r w:rsidRPr="00460FC2">
        <w:rPr>
          <w:b/>
          <w:bCs/>
        </w:rPr>
        <w:t>Fig.</w:t>
      </w:r>
      <w:r w:rsidR="00464EFC">
        <w:rPr>
          <w:rFonts w:hint="eastAsia"/>
          <w:b/>
          <w:bCs/>
        </w:rPr>
        <w:t xml:space="preserve"> </w:t>
      </w:r>
      <w:r w:rsidRPr="00460FC2">
        <w:rPr>
          <w:b/>
          <w:bCs/>
        </w:rPr>
        <w:t>S1</w:t>
      </w:r>
      <w:r w:rsidR="007318B0">
        <w:rPr>
          <w:rFonts w:hint="eastAsia"/>
          <w:b/>
          <w:bCs/>
        </w:rPr>
        <w:t>5</w:t>
      </w:r>
      <w:r w:rsidRPr="00460FC2">
        <w:rPr>
          <w:b/>
          <w:bCs/>
        </w:rPr>
        <w:t xml:space="preserve"> </w:t>
      </w:r>
      <w:r w:rsidR="00B7443B" w:rsidRPr="00460FC2">
        <w:rPr>
          <w:rStyle w:val="af0"/>
          <w:bCs/>
          <w:color w:val="404040"/>
          <w:shd w:val="clear" w:color="auto" w:fill="FFFFFF"/>
        </w:rPr>
        <w:t>a</w:t>
      </w:r>
      <w:r w:rsidRPr="00460FC2">
        <w:rPr>
          <w:shd w:val="clear" w:color="auto" w:fill="FFFFFF"/>
        </w:rPr>
        <w:t xml:space="preserve"> XPS survey spectra of CA and CA/PEI.</w:t>
      </w:r>
      <w:r w:rsidRPr="00460FC2">
        <w:rPr>
          <w:rFonts w:eastAsia="宋体"/>
          <w:shd w:val="clear" w:color="auto" w:fill="FFFFFF"/>
        </w:rPr>
        <w:t xml:space="preserve"> </w:t>
      </w:r>
      <w:r w:rsidR="00B7443B" w:rsidRPr="00460FC2">
        <w:rPr>
          <w:rStyle w:val="af0"/>
          <w:bCs/>
          <w:color w:val="404040"/>
          <w:shd w:val="clear" w:color="auto" w:fill="FFFFFF"/>
        </w:rPr>
        <w:t>b</w:t>
      </w:r>
      <w:r w:rsidRPr="00460FC2">
        <w:rPr>
          <w:rStyle w:val="af0"/>
          <w:rFonts w:eastAsia="Segoe UI"/>
          <w:bCs/>
          <w:color w:val="404040"/>
          <w:shd w:val="clear" w:color="auto" w:fill="FFFFFF"/>
        </w:rPr>
        <w:t>-</w:t>
      </w:r>
      <w:r w:rsidR="00B7443B" w:rsidRPr="00460FC2">
        <w:rPr>
          <w:rStyle w:val="af0"/>
          <w:bCs/>
          <w:color w:val="404040"/>
          <w:shd w:val="clear" w:color="auto" w:fill="FFFFFF"/>
        </w:rPr>
        <w:t>d</w:t>
      </w:r>
      <w:r w:rsidRPr="00460FC2">
        <w:rPr>
          <w:b/>
          <w:bCs/>
          <w:shd w:val="clear" w:color="auto" w:fill="FFFFFF"/>
        </w:rPr>
        <w:t xml:space="preserve"> </w:t>
      </w:r>
      <w:r w:rsidRPr="00460FC2">
        <w:rPr>
          <w:shd w:val="clear" w:color="auto" w:fill="FFFFFF"/>
        </w:rPr>
        <w:t>High-resolution XPS deconvolution of CA/PEI: (</w:t>
      </w:r>
      <w:r w:rsidR="00B7443B" w:rsidRPr="00460FC2">
        <w:rPr>
          <w:shd w:val="clear" w:color="auto" w:fill="FFFFFF"/>
        </w:rPr>
        <w:t>b</w:t>
      </w:r>
      <w:r w:rsidRPr="00460FC2">
        <w:rPr>
          <w:shd w:val="clear" w:color="auto" w:fill="FFFFFF"/>
        </w:rPr>
        <w:t>) N 1s, (</w:t>
      </w:r>
      <w:r w:rsidR="00B7443B" w:rsidRPr="00460FC2">
        <w:rPr>
          <w:shd w:val="clear" w:color="auto" w:fill="FFFFFF"/>
        </w:rPr>
        <w:t>c</w:t>
      </w:r>
      <w:r w:rsidRPr="00460FC2">
        <w:rPr>
          <w:shd w:val="clear" w:color="auto" w:fill="FFFFFF"/>
        </w:rPr>
        <w:t>) O 1s, (</w:t>
      </w:r>
      <w:r w:rsidR="00B7443B" w:rsidRPr="00460FC2">
        <w:rPr>
          <w:shd w:val="clear" w:color="auto" w:fill="FFFFFF"/>
        </w:rPr>
        <w:t>d</w:t>
      </w:r>
      <w:r w:rsidRPr="00460FC2">
        <w:rPr>
          <w:shd w:val="clear" w:color="auto" w:fill="FFFFFF"/>
        </w:rPr>
        <w:t>) C</w:t>
      </w:r>
      <w:r w:rsidRPr="00460FC2">
        <w:rPr>
          <w:rFonts w:eastAsia="宋体"/>
          <w:shd w:val="clear" w:color="auto" w:fill="FFFFFF"/>
        </w:rPr>
        <w:t xml:space="preserve"> </w:t>
      </w:r>
      <w:r w:rsidRPr="00460FC2">
        <w:rPr>
          <w:shd w:val="clear" w:color="auto" w:fill="FFFFFF"/>
        </w:rPr>
        <w:t>1s core levels</w:t>
      </w:r>
    </w:p>
    <w:p w14:paraId="64F4AE67" w14:textId="77777777" w:rsidR="00DF4A8C" w:rsidRPr="00DF4A8C" w:rsidRDefault="00E2389F" w:rsidP="00581B55">
      <w:pPr>
        <w:spacing w:beforeLines="50" w:before="156" w:afterLines="50" w:after="156"/>
        <w:jc w:val="center"/>
      </w:pPr>
      <w:r w:rsidRPr="00460FC2">
        <w:rPr>
          <w:noProof/>
        </w:rPr>
        <w:drawing>
          <wp:inline distT="0" distB="0" distL="0" distR="0" wp14:anchorId="76055349" wp14:editId="486A4301">
            <wp:extent cx="4003692" cy="1800879"/>
            <wp:effectExtent l="0" t="0" r="0" b="0"/>
            <wp:docPr id="132540116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022387" cy="1809288"/>
                    </a:xfrm>
                    <a:prstGeom prst="rect">
                      <a:avLst/>
                    </a:prstGeom>
                    <a:noFill/>
                  </pic:spPr>
                </pic:pic>
              </a:graphicData>
            </a:graphic>
          </wp:inline>
        </w:drawing>
      </w:r>
    </w:p>
    <w:p w14:paraId="662CA5F3" w14:textId="1BEB67E1" w:rsidR="00DF4A8C" w:rsidRPr="00DF4A8C" w:rsidRDefault="00E2389F" w:rsidP="00581B55">
      <w:pPr>
        <w:spacing w:beforeLines="50" w:before="156" w:afterLines="50" w:after="156"/>
      </w:pPr>
      <w:r w:rsidRPr="00460FC2">
        <w:rPr>
          <w:b/>
          <w:bCs/>
        </w:rPr>
        <w:t>Fig.</w:t>
      </w:r>
      <w:r w:rsidR="00464EFC">
        <w:rPr>
          <w:rFonts w:hint="eastAsia"/>
          <w:b/>
          <w:bCs/>
        </w:rPr>
        <w:t xml:space="preserve"> </w:t>
      </w:r>
      <w:r w:rsidRPr="00460FC2">
        <w:rPr>
          <w:b/>
          <w:bCs/>
        </w:rPr>
        <w:t>S1</w:t>
      </w:r>
      <w:r w:rsidR="007318B0">
        <w:rPr>
          <w:rFonts w:hint="eastAsia"/>
          <w:b/>
          <w:bCs/>
        </w:rPr>
        <w:t>6</w:t>
      </w:r>
      <w:r w:rsidRPr="00460FC2">
        <w:rPr>
          <w:b/>
          <w:bCs/>
        </w:rPr>
        <w:t xml:space="preserve"> </w:t>
      </w:r>
      <w:r w:rsidR="00B7443B" w:rsidRPr="00460FC2">
        <w:rPr>
          <w:rStyle w:val="af0"/>
          <w:bCs/>
          <w:color w:val="404040"/>
          <w:shd w:val="clear" w:color="auto" w:fill="FFFFFF"/>
        </w:rPr>
        <w:t>a</w:t>
      </w:r>
      <w:r w:rsidR="00B7443B" w:rsidRPr="00460FC2">
        <w:rPr>
          <w:shd w:val="clear" w:color="auto" w:fill="FFFFFF"/>
        </w:rPr>
        <w:t xml:space="preserve"> Water contact angle measurements of CA and CA/PEI at varying compositions.</w:t>
      </w:r>
      <w:r w:rsidR="00B7443B" w:rsidRPr="00460FC2">
        <w:rPr>
          <w:rFonts w:eastAsia="宋体"/>
          <w:shd w:val="clear" w:color="auto" w:fill="FFFFFF"/>
        </w:rPr>
        <w:t xml:space="preserve"> </w:t>
      </w:r>
      <w:r w:rsidR="00B7443B" w:rsidRPr="00460FC2">
        <w:rPr>
          <w:rStyle w:val="af0"/>
          <w:bCs/>
          <w:color w:val="404040"/>
          <w:shd w:val="clear" w:color="auto" w:fill="FFFFFF"/>
        </w:rPr>
        <w:t>b</w:t>
      </w:r>
      <w:r w:rsidR="00B7443B" w:rsidRPr="00460FC2">
        <w:rPr>
          <w:shd w:val="clear" w:color="auto" w:fill="FFFFFF"/>
        </w:rPr>
        <w:t xml:space="preserve"> Representative optical images of water contact angles on pristine CA and modified CA/PEI surfaces</w:t>
      </w:r>
    </w:p>
    <w:p w14:paraId="2DBC8A3A" w14:textId="77777777" w:rsidR="00DF4A8C" w:rsidRPr="00DF4A8C" w:rsidRDefault="0036088F" w:rsidP="00581B55">
      <w:pPr>
        <w:spacing w:beforeLines="50" w:before="156" w:afterLines="50" w:after="156"/>
        <w:jc w:val="center"/>
      </w:pPr>
      <w:r w:rsidRPr="0036088F">
        <w:rPr>
          <w:noProof/>
        </w:rPr>
        <w:drawing>
          <wp:inline distT="0" distB="0" distL="0" distR="0" wp14:anchorId="6A2BDC86" wp14:editId="1B31D35E">
            <wp:extent cx="2436073" cy="2084711"/>
            <wp:effectExtent l="0" t="0" r="2540" b="0"/>
            <wp:docPr id="113" name="图片 112">
              <a:extLst xmlns:a="http://schemas.openxmlformats.org/drawingml/2006/main">
                <a:ext uri="{FF2B5EF4-FFF2-40B4-BE49-F238E27FC236}">
                  <a16:creationId xmlns:a16="http://schemas.microsoft.com/office/drawing/2014/main" id="{EAAC5DA6-624A-FF1F-9007-CA8EDE6F51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2">
                      <a:extLst>
                        <a:ext uri="{FF2B5EF4-FFF2-40B4-BE49-F238E27FC236}">
                          <a16:creationId xmlns:a16="http://schemas.microsoft.com/office/drawing/2014/main" id="{EAAC5DA6-624A-FF1F-9007-CA8EDE6F5131}"/>
                        </a:ext>
                      </a:extLst>
                    </pic:cNvPr>
                    <pic:cNvPicPr>
                      <a:picLocks noChangeAspect="1"/>
                    </pic:cNvPicPr>
                  </pic:nvPicPr>
                  <pic:blipFill>
                    <a:blip r:embed="rId29"/>
                    <a:stretch>
                      <a:fillRect/>
                    </a:stretch>
                  </pic:blipFill>
                  <pic:spPr>
                    <a:xfrm>
                      <a:off x="0" y="0"/>
                      <a:ext cx="2441545" cy="2089394"/>
                    </a:xfrm>
                    <a:prstGeom prst="rect">
                      <a:avLst/>
                    </a:prstGeom>
                  </pic:spPr>
                </pic:pic>
              </a:graphicData>
            </a:graphic>
          </wp:inline>
        </w:drawing>
      </w:r>
    </w:p>
    <w:p w14:paraId="2B7DD1BF" w14:textId="77777777" w:rsidR="00464EFC" w:rsidRDefault="0036088F" w:rsidP="00581B55">
      <w:pPr>
        <w:spacing w:beforeLines="50" w:before="156" w:afterLines="50" w:after="156"/>
      </w:pPr>
      <w:bookmarkStart w:id="10" w:name="_Hlk218873087"/>
      <w:r w:rsidRPr="0036088F">
        <w:rPr>
          <w:b/>
          <w:bCs/>
        </w:rPr>
        <w:t>Fig</w:t>
      </w:r>
      <w:r w:rsidR="00464EFC">
        <w:rPr>
          <w:rFonts w:hint="eastAsia"/>
          <w:b/>
          <w:bCs/>
        </w:rPr>
        <w:t>.</w:t>
      </w:r>
      <w:r w:rsidRPr="0036088F">
        <w:rPr>
          <w:b/>
          <w:bCs/>
        </w:rPr>
        <w:t xml:space="preserve"> S1</w:t>
      </w:r>
      <w:r w:rsidR="007318B0">
        <w:rPr>
          <w:rFonts w:hint="eastAsia"/>
          <w:b/>
          <w:bCs/>
        </w:rPr>
        <w:t>7</w:t>
      </w:r>
      <w:r w:rsidRPr="0036088F">
        <w:t xml:space="preserve"> Demonstration of the synclastic curvature effect of the auxetic material on a human elbow joint. (i) Photograph of the material on an extended arm. (ii) Photograph during moderate flexion of the elbow. (iii) Photograph during significant flexion, where the auxetic structure naturally forms a dome-like shape to match the joint's convexity, preventing edge lifting. (iv) Detailed view of the conformed auxetic network under bending load.</w:t>
      </w:r>
    </w:p>
    <w:bookmarkEnd w:id="10"/>
    <w:p w14:paraId="6CF7B8B0" w14:textId="77777777" w:rsidR="00DF4A8C" w:rsidRPr="00DF4A8C" w:rsidRDefault="00D41387" w:rsidP="00581B55">
      <w:pPr>
        <w:spacing w:beforeLines="50" w:before="156" w:afterLines="50" w:after="156"/>
        <w:jc w:val="center"/>
      </w:pPr>
      <w:r w:rsidRPr="00D41387">
        <w:rPr>
          <w:noProof/>
        </w:rPr>
        <w:drawing>
          <wp:inline distT="0" distB="0" distL="0" distR="0" wp14:anchorId="317C9C40" wp14:editId="32BDC290">
            <wp:extent cx="4544079" cy="1355351"/>
            <wp:effectExtent l="0" t="0" r="0" b="0"/>
            <wp:docPr id="313" name="图片 312">
              <a:extLst xmlns:a="http://schemas.openxmlformats.org/drawingml/2006/main">
                <a:ext uri="{FF2B5EF4-FFF2-40B4-BE49-F238E27FC236}">
                  <a16:creationId xmlns:a16="http://schemas.microsoft.com/office/drawing/2014/main" id="{8399494A-904D-25A8-BB5B-193A332546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图片 312">
                      <a:extLst>
                        <a:ext uri="{FF2B5EF4-FFF2-40B4-BE49-F238E27FC236}">
                          <a16:creationId xmlns:a16="http://schemas.microsoft.com/office/drawing/2014/main" id="{8399494A-904D-25A8-BB5B-193A33254661}"/>
                        </a:ext>
                      </a:extLst>
                    </pic:cNvPr>
                    <pic:cNvPicPr>
                      <a:picLocks noChangeAspect="1"/>
                    </pic:cNvPicPr>
                  </pic:nvPicPr>
                  <pic:blipFill rotWithShape="1">
                    <a:blip r:embed="rId30"/>
                    <a:srcRect r="8816"/>
                    <a:stretch/>
                  </pic:blipFill>
                  <pic:spPr bwMode="auto">
                    <a:xfrm>
                      <a:off x="0" y="0"/>
                      <a:ext cx="4555507" cy="1358760"/>
                    </a:xfrm>
                    <a:prstGeom prst="rect">
                      <a:avLst/>
                    </a:prstGeom>
                    <a:ln>
                      <a:noFill/>
                    </a:ln>
                    <a:extLst>
                      <a:ext uri="{53640926-AAD7-44D8-BBD7-CCE9431645EC}">
                        <a14:shadowObscured xmlns:a14="http://schemas.microsoft.com/office/drawing/2010/main"/>
                      </a:ext>
                    </a:extLst>
                  </pic:spPr>
                </pic:pic>
              </a:graphicData>
            </a:graphic>
          </wp:inline>
        </w:drawing>
      </w:r>
    </w:p>
    <w:p w14:paraId="0A3C8BBA" w14:textId="7D4FF691" w:rsidR="00DF4A8C" w:rsidRPr="00DF4A8C" w:rsidRDefault="00D41387" w:rsidP="00581B55">
      <w:pPr>
        <w:spacing w:beforeLines="50" w:before="156" w:afterLines="50" w:after="156"/>
        <w:rPr>
          <w:b/>
          <w:bCs/>
        </w:rPr>
      </w:pPr>
      <w:r w:rsidRPr="0036088F">
        <w:rPr>
          <w:b/>
          <w:bCs/>
        </w:rPr>
        <w:t>Fig</w:t>
      </w:r>
      <w:r w:rsidR="00464EFC">
        <w:rPr>
          <w:rFonts w:hint="eastAsia"/>
          <w:b/>
          <w:bCs/>
        </w:rPr>
        <w:t>.</w:t>
      </w:r>
      <w:r w:rsidRPr="0036088F">
        <w:rPr>
          <w:b/>
          <w:bCs/>
        </w:rPr>
        <w:t xml:space="preserve"> S1</w:t>
      </w:r>
      <w:r w:rsidR="007318B0">
        <w:rPr>
          <w:rFonts w:hint="eastAsia"/>
          <w:b/>
          <w:bCs/>
        </w:rPr>
        <w:t>8</w:t>
      </w:r>
      <w:r>
        <w:rPr>
          <w:rFonts w:hint="eastAsia"/>
          <w:b/>
          <w:bCs/>
        </w:rPr>
        <w:t xml:space="preserve"> </w:t>
      </w:r>
      <w:r w:rsidR="008A5AB6" w:rsidRPr="008A5AB6">
        <w:t>Non-Auxetic-TENG achieves 97% recognition accuracy after CNN deep learning for input signals from human hands and robotic grippers grasping different objects</w:t>
      </w:r>
    </w:p>
    <w:p w14:paraId="06C48B0B" w14:textId="77777777" w:rsidR="00DF4A8C" w:rsidRPr="00DF4A8C" w:rsidRDefault="00DF51D6" w:rsidP="00581B55">
      <w:pPr>
        <w:spacing w:beforeLines="50" w:before="156" w:afterLines="50" w:after="156"/>
        <w:jc w:val="center"/>
        <w:rPr>
          <w:b/>
          <w:bCs/>
        </w:rPr>
      </w:pPr>
      <w:r>
        <w:rPr>
          <w:rFonts w:hint="eastAsia"/>
          <w:noProof/>
        </w:rPr>
        <w:drawing>
          <wp:inline distT="0" distB="0" distL="0" distR="0" wp14:anchorId="7F6E72D8" wp14:editId="56753817">
            <wp:extent cx="3880654" cy="2593975"/>
            <wp:effectExtent l="0" t="0" r="5715" b="0"/>
            <wp:docPr id="4512060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20606" name="图片 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3919602" cy="2620009"/>
                    </a:xfrm>
                    <a:prstGeom prst="rect">
                      <a:avLst/>
                    </a:prstGeom>
                    <a:noFill/>
                  </pic:spPr>
                </pic:pic>
              </a:graphicData>
            </a:graphic>
          </wp:inline>
        </w:drawing>
      </w:r>
    </w:p>
    <w:p w14:paraId="2E92C19E" w14:textId="7FB320D1" w:rsidR="00DF4A8C" w:rsidRPr="00DF4A8C" w:rsidRDefault="00DF51D6" w:rsidP="00581B55">
      <w:pPr>
        <w:spacing w:beforeLines="50" w:before="156" w:afterLines="50" w:after="156"/>
      </w:pPr>
      <w:r w:rsidRPr="00DF51D6">
        <w:rPr>
          <w:b/>
          <w:bCs/>
        </w:rPr>
        <w:t>Fig</w:t>
      </w:r>
      <w:r w:rsidRPr="00DF51D6">
        <w:rPr>
          <w:rFonts w:hint="eastAsia"/>
          <w:b/>
          <w:bCs/>
        </w:rPr>
        <w:t>.</w:t>
      </w:r>
      <w:r w:rsidRPr="00DF51D6">
        <w:rPr>
          <w:b/>
          <w:bCs/>
        </w:rPr>
        <w:t xml:space="preserve"> S</w:t>
      </w:r>
      <w:r w:rsidR="00227F63">
        <w:rPr>
          <w:rFonts w:hint="eastAsia"/>
          <w:b/>
          <w:bCs/>
        </w:rPr>
        <w:t>1</w:t>
      </w:r>
      <w:r w:rsidR="007318B0">
        <w:rPr>
          <w:rFonts w:hint="eastAsia"/>
          <w:b/>
          <w:bCs/>
        </w:rPr>
        <w:t>9</w:t>
      </w:r>
      <w:r w:rsidRPr="00DF51D6">
        <w:rPr>
          <w:b/>
          <w:bCs/>
        </w:rPr>
        <w:t xml:space="preserve"> </w:t>
      </w:r>
      <w:r w:rsidRPr="00A26389">
        <w:t>Quantitative performance comparison between conventional machine learning algorithms and the proposed CNN framework under identical experimental conditions. (</w:t>
      </w:r>
      <w:r w:rsidRPr="00464EFC">
        <w:rPr>
          <w:b/>
          <w:bCs/>
        </w:rPr>
        <w:t>a</w:t>
      </w:r>
      <w:r w:rsidRPr="00A26389">
        <w:t>) Overall classification accuracy comparison, revealing that the CNN model (98.5%) significantly outperforms Support Vector Machine (SVM, 63.8%) and Random Forest (RF, 80.2%). (</w:t>
      </w:r>
      <w:r w:rsidRPr="00464EFC">
        <w:rPr>
          <w:b/>
          <w:bCs/>
        </w:rPr>
        <w:t>b</w:t>
      </w:r>
      <w:r w:rsidRPr="00A26389">
        <w:t>) Normalized confusion matrix for the SVM model, exhibiting considerable off-diagonal misclassification (red blocks) due to the inability to resolve feature ambiguity among similar signal patterns. (</w:t>
      </w:r>
      <w:r w:rsidRPr="00464EFC">
        <w:rPr>
          <w:b/>
          <w:bCs/>
        </w:rPr>
        <w:t>c</w:t>
      </w:r>
      <w:r w:rsidRPr="00A26389">
        <w:t>) Normalized confusion matrix for the CNN model, demonstrating a clear diagonal dominance with minimal error, confirming its capability to extract distinct spatiotemporal fingerprints. (</w:t>
      </w:r>
      <w:r w:rsidRPr="00464EFC">
        <w:rPr>
          <w:b/>
          <w:bCs/>
        </w:rPr>
        <w:t>d</w:t>
      </w:r>
      <w:r w:rsidRPr="00A26389">
        <w:t>) Receiver Operating Characteristic (ROC) curve comparison. The CNN model achieves the highest Area Under Curve (AUC = 0.993), enclosing the RF (0.971) and SVM (0.905) curves, thereby validating its superior sensitivity and robustness against signal variability.</w:t>
      </w:r>
    </w:p>
    <w:p w14:paraId="15FEF3C8" w14:textId="77777777" w:rsidR="00464EFC" w:rsidRPr="00464EFC" w:rsidRDefault="00464EFC" w:rsidP="00464EFC">
      <w:pPr>
        <w:spacing w:beforeLines="50" w:before="156" w:afterLines="50" w:after="156"/>
        <w:rPr>
          <w:b/>
          <w:bCs/>
          <w:sz w:val="28"/>
          <w:szCs w:val="28"/>
        </w:rPr>
      </w:pPr>
      <w:r w:rsidRPr="00464EFC">
        <w:rPr>
          <w:b/>
          <w:bCs/>
          <w:sz w:val="28"/>
          <w:szCs w:val="28"/>
        </w:rPr>
        <w:t>Supplementary Tables</w:t>
      </w:r>
    </w:p>
    <w:p w14:paraId="5A4AE638" w14:textId="0CA46F32" w:rsidR="00B623EA" w:rsidRPr="00464EFC" w:rsidRDefault="00FF77AA" w:rsidP="00581B55">
      <w:pPr>
        <w:spacing w:beforeLines="50" w:before="156" w:afterLines="50" w:after="156"/>
      </w:pPr>
      <w:r w:rsidRPr="00460FC2">
        <w:rPr>
          <w:b/>
          <w:bCs/>
        </w:rPr>
        <w:t>Table S1</w:t>
      </w:r>
      <w:r w:rsidRPr="00460FC2">
        <w:t xml:space="preserve"> The energy conversion efficiency of Auxetice-TENG during contact and separation under different pressures</w:t>
      </w:r>
      <w:r w:rsidR="00464EFC">
        <w:rPr>
          <w:rFonts w:hint="eastAsia"/>
        </w:rPr>
        <w:t xml:space="preserve"> [S</w:t>
      </w:r>
      <w:r w:rsidRPr="00464EFC">
        <w:t>4,</w:t>
      </w:r>
      <w:r w:rsidR="00464EFC">
        <w:rPr>
          <w:rFonts w:hint="eastAsia"/>
        </w:rPr>
        <w:t xml:space="preserve"> S</w:t>
      </w:r>
      <w:r w:rsidRPr="00464EFC">
        <w:t>5</w:t>
      </w:r>
      <w:r w:rsidR="00464EFC">
        <w:rPr>
          <w:rFonts w:hint="eastAsia"/>
        </w:rPr>
        <w:t>]</w:t>
      </w:r>
    </w:p>
    <w:tbl>
      <w:tblPr>
        <w:tblW w:w="8098" w:type="dxa"/>
        <w:jc w:val="center"/>
        <w:tblCellSpacing w:w="0" w:type="dxa"/>
        <w:tblCellMar>
          <w:left w:w="0" w:type="dxa"/>
          <w:right w:w="0" w:type="dxa"/>
        </w:tblCellMar>
        <w:tblLook w:val="04A0" w:firstRow="1" w:lastRow="0" w:firstColumn="1" w:lastColumn="0" w:noHBand="0" w:noVBand="1"/>
      </w:tblPr>
      <w:tblGrid>
        <w:gridCol w:w="1197"/>
        <w:gridCol w:w="2218"/>
        <w:gridCol w:w="2253"/>
        <w:gridCol w:w="2430"/>
      </w:tblGrid>
      <w:tr w:rsidR="00B623EA" w:rsidRPr="00464EFC" w14:paraId="0F501E57" w14:textId="77777777">
        <w:trPr>
          <w:trHeight w:val="767"/>
          <w:tblCellSpacing w:w="0" w:type="dxa"/>
          <w:jc w:val="center"/>
        </w:trPr>
        <w:tc>
          <w:tcPr>
            <w:tcW w:w="1197" w:type="dxa"/>
            <w:tcBorders>
              <w:top w:val="single" w:sz="4" w:space="0" w:color="auto"/>
              <w:bottom w:val="nil"/>
            </w:tcBorders>
            <w:tcMar>
              <w:left w:w="108" w:type="dxa"/>
              <w:right w:w="108" w:type="dxa"/>
            </w:tcMar>
            <w:vAlign w:val="center"/>
          </w:tcPr>
          <w:p w14:paraId="066ED208" w14:textId="77777777" w:rsidR="00B623EA" w:rsidRPr="00464EFC" w:rsidRDefault="00FF77AA" w:rsidP="00464EFC">
            <w:pPr>
              <w:pStyle w:val="ac"/>
              <w:spacing w:beforeAutospacing="0" w:afterAutospacing="0"/>
              <w:jc w:val="center"/>
              <w:rPr>
                <w:sz w:val="21"/>
                <w:szCs w:val="21"/>
              </w:rPr>
            </w:pPr>
            <w:r w:rsidRPr="00464EFC">
              <w:rPr>
                <w:sz w:val="21"/>
                <w:szCs w:val="21"/>
              </w:rPr>
              <w:t>Pressure</w:t>
            </w:r>
          </w:p>
        </w:tc>
        <w:tc>
          <w:tcPr>
            <w:tcW w:w="2218" w:type="dxa"/>
            <w:tcBorders>
              <w:top w:val="single" w:sz="4" w:space="0" w:color="auto"/>
              <w:bottom w:val="nil"/>
            </w:tcBorders>
            <w:tcMar>
              <w:left w:w="108" w:type="dxa"/>
              <w:right w:w="108" w:type="dxa"/>
            </w:tcMar>
            <w:vAlign w:val="center"/>
          </w:tcPr>
          <w:p w14:paraId="1C8824A0" w14:textId="77777777" w:rsidR="00DF4A8C" w:rsidRPr="00464EFC" w:rsidRDefault="00FF77AA" w:rsidP="00464EFC">
            <w:pPr>
              <w:pStyle w:val="ac"/>
              <w:spacing w:beforeAutospacing="0" w:afterAutospacing="0"/>
              <w:jc w:val="center"/>
              <w:rPr>
                <w:sz w:val="21"/>
                <w:szCs w:val="21"/>
              </w:rPr>
            </w:pPr>
            <w:r w:rsidRPr="00464EFC">
              <w:rPr>
                <w:sz w:val="21"/>
                <w:szCs w:val="21"/>
              </w:rPr>
              <w:t>Mechanical Energy</w:t>
            </w:r>
          </w:p>
          <w:p w14:paraId="0B16D440" w14:textId="4A1180D4" w:rsidR="00B623EA" w:rsidRPr="00464EFC" w:rsidRDefault="00FF77AA" w:rsidP="00464EFC">
            <w:pPr>
              <w:pStyle w:val="ac"/>
              <w:spacing w:beforeAutospacing="0" w:afterAutospacing="0"/>
              <w:jc w:val="center"/>
              <w:rPr>
                <w:sz w:val="21"/>
                <w:szCs w:val="21"/>
              </w:rPr>
            </w:pPr>
            <w:r w:rsidRPr="00464EFC">
              <w:rPr>
                <w:sz w:val="21"/>
                <w:szCs w:val="21"/>
              </w:rPr>
              <w:t>(E</w:t>
            </w:r>
            <w:r w:rsidRPr="00464EFC">
              <w:rPr>
                <w:sz w:val="21"/>
                <w:szCs w:val="21"/>
                <w:vertAlign w:val="subscript"/>
              </w:rPr>
              <w:t>in</w:t>
            </w:r>
            <w:r w:rsidRPr="00464EFC">
              <w:rPr>
                <w:sz w:val="21"/>
                <w:szCs w:val="21"/>
              </w:rPr>
              <w:t>=E</w:t>
            </w:r>
            <w:r w:rsidRPr="00464EFC">
              <w:rPr>
                <w:sz w:val="21"/>
                <w:szCs w:val="21"/>
                <w:vertAlign w:val="subscript"/>
              </w:rPr>
              <w:t>1</w:t>
            </w:r>
            <w:r w:rsidRPr="00464EFC">
              <w:rPr>
                <w:sz w:val="21"/>
                <w:szCs w:val="21"/>
              </w:rPr>
              <w:t>+E</w:t>
            </w:r>
            <w:r w:rsidRPr="00464EFC">
              <w:rPr>
                <w:sz w:val="21"/>
                <w:szCs w:val="21"/>
                <w:vertAlign w:val="subscript"/>
              </w:rPr>
              <w:t>2</w:t>
            </w:r>
            <w:r w:rsidRPr="00464EFC">
              <w:rPr>
                <w:sz w:val="21"/>
                <w:szCs w:val="21"/>
              </w:rPr>
              <w:t>)</w:t>
            </w:r>
          </w:p>
        </w:tc>
        <w:tc>
          <w:tcPr>
            <w:tcW w:w="2253" w:type="dxa"/>
            <w:tcBorders>
              <w:top w:val="single" w:sz="4" w:space="0" w:color="auto"/>
              <w:bottom w:val="nil"/>
            </w:tcBorders>
            <w:tcMar>
              <w:left w:w="108" w:type="dxa"/>
              <w:right w:w="108" w:type="dxa"/>
            </w:tcMar>
            <w:vAlign w:val="center"/>
          </w:tcPr>
          <w:p w14:paraId="330F4F68" w14:textId="77777777" w:rsidR="00DF4A8C" w:rsidRPr="00464EFC" w:rsidRDefault="00FF77AA" w:rsidP="00464EFC">
            <w:pPr>
              <w:pStyle w:val="ac"/>
              <w:spacing w:beforeAutospacing="0" w:afterAutospacing="0"/>
              <w:jc w:val="center"/>
              <w:rPr>
                <w:sz w:val="21"/>
                <w:szCs w:val="21"/>
              </w:rPr>
            </w:pPr>
            <w:r w:rsidRPr="00464EFC">
              <w:rPr>
                <w:sz w:val="21"/>
                <w:szCs w:val="21"/>
              </w:rPr>
              <w:t>Triboelectric Energy</w:t>
            </w:r>
          </w:p>
          <w:p w14:paraId="7F5188D9" w14:textId="2DF1DF46" w:rsidR="00B623EA" w:rsidRPr="00464EFC" w:rsidRDefault="00FF77AA" w:rsidP="00464EFC">
            <w:pPr>
              <w:pStyle w:val="ac"/>
              <w:spacing w:beforeAutospacing="0" w:afterAutospacing="0"/>
              <w:jc w:val="center"/>
              <w:rPr>
                <w:sz w:val="21"/>
                <w:szCs w:val="21"/>
              </w:rPr>
            </w:pPr>
            <w:r w:rsidRPr="00464EFC">
              <w:rPr>
                <w:sz w:val="21"/>
                <w:szCs w:val="21"/>
              </w:rPr>
              <w:t>E</w:t>
            </w:r>
            <w:r w:rsidRPr="00464EFC">
              <w:rPr>
                <w:sz w:val="21"/>
                <w:szCs w:val="21"/>
                <w:vertAlign w:val="subscript"/>
              </w:rPr>
              <w:t>out</w:t>
            </w:r>
          </w:p>
        </w:tc>
        <w:tc>
          <w:tcPr>
            <w:tcW w:w="2430" w:type="dxa"/>
            <w:tcBorders>
              <w:top w:val="single" w:sz="4" w:space="0" w:color="auto"/>
              <w:bottom w:val="nil"/>
            </w:tcBorders>
            <w:tcMar>
              <w:left w:w="108" w:type="dxa"/>
              <w:right w:w="108" w:type="dxa"/>
            </w:tcMar>
            <w:vAlign w:val="center"/>
          </w:tcPr>
          <w:p w14:paraId="7F2063E6" w14:textId="77777777" w:rsidR="00DF4A8C" w:rsidRPr="00464EFC" w:rsidRDefault="00FF77AA" w:rsidP="00464EFC">
            <w:pPr>
              <w:pStyle w:val="ac"/>
              <w:spacing w:beforeAutospacing="0" w:afterAutospacing="0"/>
              <w:jc w:val="center"/>
              <w:rPr>
                <w:sz w:val="21"/>
                <w:szCs w:val="21"/>
              </w:rPr>
            </w:pPr>
            <w:r w:rsidRPr="00464EFC">
              <w:rPr>
                <w:sz w:val="21"/>
                <w:szCs w:val="21"/>
              </w:rPr>
              <w:t>Conversion Efficiency</w:t>
            </w:r>
          </w:p>
          <w:p w14:paraId="5B48B4E2" w14:textId="6D660D7D" w:rsidR="00B623EA" w:rsidRPr="00464EFC" w:rsidRDefault="00FF77AA" w:rsidP="00464EFC">
            <w:pPr>
              <w:pStyle w:val="ac"/>
              <w:spacing w:beforeAutospacing="0" w:afterAutospacing="0"/>
              <w:jc w:val="center"/>
              <w:rPr>
                <w:sz w:val="21"/>
                <w:szCs w:val="21"/>
              </w:rPr>
            </w:pPr>
            <w:r w:rsidRPr="00464EFC">
              <w:rPr>
                <w:sz w:val="21"/>
                <w:szCs w:val="21"/>
              </w:rPr>
              <w:t>η</w:t>
            </w:r>
            <w:r w:rsidRPr="00464EFC">
              <w:rPr>
                <w:sz w:val="21"/>
                <w:szCs w:val="21"/>
                <w:vertAlign w:val="subscript"/>
              </w:rPr>
              <w:t>1</w:t>
            </w:r>
          </w:p>
        </w:tc>
      </w:tr>
      <w:tr w:rsidR="00B623EA" w:rsidRPr="00464EFC" w14:paraId="1AA12C34" w14:textId="77777777">
        <w:trPr>
          <w:trHeight w:val="457"/>
          <w:tblCellSpacing w:w="0" w:type="dxa"/>
          <w:jc w:val="center"/>
        </w:trPr>
        <w:tc>
          <w:tcPr>
            <w:tcW w:w="1197" w:type="dxa"/>
            <w:tcBorders>
              <w:top w:val="single" w:sz="4" w:space="0" w:color="auto"/>
              <w:bottom w:val="nil"/>
            </w:tcBorders>
            <w:tcMar>
              <w:left w:w="108" w:type="dxa"/>
              <w:right w:w="108" w:type="dxa"/>
            </w:tcMar>
            <w:vAlign w:val="center"/>
          </w:tcPr>
          <w:p w14:paraId="0FA8BA16" w14:textId="77777777" w:rsidR="00B623EA" w:rsidRPr="00464EFC" w:rsidRDefault="00FF77AA" w:rsidP="00464EFC">
            <w:pPr>
              <w:pStyle w:val="ac"/>
              <w:spacing w:beforeAutospacing="0" w:afterAutospacing="0"/>
              <w:jc w:val="center"/>
              <w:rPr>
                <w:sz w:val="21"/>
                <w:szCs w:val="21"/>
              </w:rPr>
            </w:pPr>
            <w:r w:rsidRPr="00464EFC">
              <w:rPr>
                <w:sz w:val="21"/>
                <w:szCs w:val="21"/>
              </w:rPr>
              <w:t>40 kpa</w:t>
            </w:r>
          </w:p>
        </w:tc>
        <w:tc>
          <w:tcPr>
            <w:tcW w:w="2218" w:type="dxa"/>
            <w:tcBorders>
              <w:top w:val="single" w:sz="4" w:space="0" w:color="auto"/>
              <w:bottom w:val="nil"/>
            </w:tcBorders>
            <w:tcMar>
              <w:left w:w="108" w:type="dxa"/>
              <w:right w:w="108" w:type="dxa"/>
            </w:tcMar>
            <w:vAlign w:val="center"/>
          </w:tcPr>
          <w:p w14:paraId="56F7A699" w14:textId="77777777" w:rsidR="00B623EA" w:rsidRPr="00464EFC" w:rsidRDefault="00FF77AA" w:rsidP="00464EFC">
            <w:pPr>
              <w:pStyle w:val="ac"/>
              <w:spacing w:beforeAutospacing="0" w:afterAutospacing="0"/>
              <w:jc w:val="center"/>
              <w:rPr>
                <w:sz w:val="21"/>
                <w:szCs w:val="21"/>
              </w:rPr>
            </w:pPr>
            <w:r w:rsidRPr="00464EFC">
              <w:rPr>
                <w:sz w:val="21"/>
                <w:szCs w:val="21"/>
              </w:rPr>
              <w:t>0.2 J+1.47×10</w:t>
            </w:r>
            <w:r w:rsidRPr="00464EFC">
              <w:rPr>
                <w:sz w:val="21"/>
                <w:szCs w:val="21"/>
                <w:vertAlign w:val="superscript"/>
              </w:rPr>
              <w:t xml:space="preserve">-4 </w:t>
            </w:r>
            <w:r w:rsidRPr="00464EFC">
              <w:rPr>
                <w:sz w:val="21"/>
                <w:szCs w:val="21"/>
              </w:rPr>
              <w:t>J</w:t>
            </w:r>
          </w:p>
        </w:tc>
        <w:tc>
          <w:tcPr>
            <w:tcW w:w="2253" w:type="dxa"/>
            <w:tcBorders>
              <w:top w:val="single" w:sz="4" w:space="0" w:color="auto"/>
              <w:bottom w:val="nil"/>
            </w:tcBorders>
            <w:tcMar>
              <w:left w:w="108" w:type="dxa"/>
              <w:right w:w="108" w:type="dxa"/>
            </w:tcMar>
            <w:vAlign w:val="center"/>
          </w:tcPr>
          <w:p w14:paraId="75BF15CB" w14:textId="77777777" w:rsidR="00B623EA" w:rsidRPr="00464EFC" w:rsidRDefault="00FF77AA" w:rsidP="00464EFC">
            <w:pPr>
              <w:pStyle w:val="ac"/>
              <w:spacing w:beforeAutospacing="0" w:afterAutospacing="0"/>
              <w:jc w:val="center"/>
              <w:rPr>
                <w:sz w:val="21"/>
                <w:szCs w:val="21"/>
              </w:rPr>
            </w:pPr>
            <w:r w:rsidRPr="00464EFC">
              <w:rPr>
                <w:sz w:val="21"/>
                <w:szCs w:val="21"/>
              </w:rPr>
              <w:t>0.0197 J</w:t>
            </w:r>
          </w:p>
        </w:tc>
        <w:tc>
          <w:tcPr>
            <w:tcW w:w="2430" w:type="dxa"/>
            <w:tcBorders>
              <w:top w:val="single" w:sz="4" w:space="0" w:color="auto"/>
              <w:bottom w:val="nil"/>
            </w:tcBorders>
            <w:tcMar>
              <w:left w:w="108" w:type="dxa"/>
              <w:right w:w="108" w:type="dxa"/>
            </w:tcMar>
            <w:vAlign w:val="center"/>
          </w:tcPr>
          <w:p w14:paraId="3EB40143" w14:textId="77777777" w:rsidR="00B623EA" w:rsidRPr="00464EFC" w:rsidRDefault="00FF77AA" w:rsidP="00464EFC">
            <w:pPr>
              <w:pStyle w:val="ac"/>
              <w:spacing w:beforeAutospacing="0" w:afterAutospacing="0"/>
              <w:jc w:val="center"/>
              <w:rPr>
                <w:sz w:val="21"/>
                <w:szCs w:val="21"/>
              </w:rPr>
            </w:pPr>
            <w:r w:rsidRPr="00464EFC">
              <w:rPr>
                <w:sz w:val="21"/>
                <w:szCs w:val="21"/>
              </w:rPr>
              <w:t>9.84%</w:t>
            </w:r>
          </w:p>
        </w:tc>
      </w:tr>
      <w:tr w:rsidR="00B623EA" w:rsidRPr="00464EFC" w14:paraId="3BEDE6CA" w14:textId="77777777">
        <w:trPr>
          <w:trHeight w:val="484"/>
          <w:tblCellSpacing w:w="0" w:type="dxa"/>
          <w:jc w:val="center"/>
        </w:trPr>
        <w:tc>
          <w:tcPr>
            <w:tcW w:w="1197" w:type="dxa"/>
            <w:tcBorders>
              <w:top w:val="nil"/>
              <w:bottom w:val="nil"/>
            </w:tcBorders>
            <w:tcMar>
              <w:left w:w="108" w:type="dxa"/>
              <w:right w:w="108" w:type="dxa"/>
            </w:tcMar>
            <w:vAlign w:val="center"/>
          </w:tcPr>
          <w:p w14:paraId="34297798" w14:textId="77777777" w:rsidR="00B623EA" w:rsidRPr="00464EFC" w:rsidRDefault="00FF77AA" w:rsidP="00464EFC">
            <w:pPr>
              <w:pStyle w:val="ac"/>
              <w:spacing w:beforeAutospacing="0" w:afterAutospacing="0"/>
              <w:jc w:val="center"/>
              <w:rPr>
                <w:sz w:val="21"/>
                <w:szCs w:val="21"/>
              </w:rPr>
            </w:pPr>
            <w:r w:rsidRPr="00464EFC">
              <w:rPr>
                <w:sz w:val="21"/>
                <w:szCs w:val="21"/>
              </w:rPr>
              <w:t>80 kpa</w:t>
            </w:r>
          </w:p>
        </w:tc>
        <w:tc>
          <w:tcPr>
            <w:tcW w:w="2218" w:type="dxa"/>
            <w:tcBorders>
              <w:top w:val="nil"/>
              <w:bottom w:val="nil"/>
            </w:tcBorders>
            <w:tcMar>
              <w:left w:w="108" w:type="dxa"/>
              <w:right w:w="108" w:type="dxa"/>
            </w:tcMar>
            <w:vAlign w:val="center"/>
          </w:tcPr>
          <w:p w14:paraId="35DDDE9B" w14:textId="77777777" w:rsidR="00B623EA" w:rsidRPr="00464EFC" w:rsidRDefault="00FF77AA" w:rsidP="00464EFC">
            <w:pPr>
              <w:pStyle w:val="ac"/>
              <w:spacing w:beforeAutospacing="0" w:afterAutospacing="0"/>
              <w:jc w:val="center"/>
              <w:rPr>
                <w:sz w:val="21"/>
                <w:szCs w:val="21"/>
              </w:rPr>
            </w:pPr>
            <w:r w:rsidRPr="00464EFC">
              <w:rPr>
                <w:sz w:val="21"/>
                <w:szCs w:val="21"/>
              </w:rPr>
              <w:t>0.4 J+1.47×10</w:t>
            </w:r>
            <w:r w:rsidRPr="00464EFC">
              <w:rPr>
                <w:sz w:val="21"/>
                <w:szCs w:val="21"/>
                <w:vertAlign w:val="superscript"/>
              </w:rPr>
              <w:t xml:space="preserve">-4 </w:t>
            </w:r>
            <w:r w:rsidRPr="00464EFC">
              <w:rPr>
                <w:sz w:val="21"/>
                <w:szCs w:val="21"/>
              </w:rPr>
              <w:t>J</w:t>
            </w:r>
          </w:p>
        </w:tc>
        <w:tc>
          <w:tcPr>
            <w:tcW w:w="2253" w:type="dxa"/>
            <w:tcBorders>
              <w:top w:val="nil"/>
              <w:bottom w:val="nil"/>
            </w:tcBorders>
            <w:tcMar>
              <w:left w:w="108" w:type="dxa"/>
              <w:right w:w="108" w:type="dxa"/>
            </w:tcMar>
            <w:vAlign w:val="center"/>
          </w:tcPr>
          <w:p w14:paraId="1BB1B8BA" w14:textId="77777777" w:rsidR="00B623EA" w:rsidRPr="00464EFC" w:rsidRDefault="00FF77AA" w:rsidP="00464EFC">
            <w:pPr>
              <w:pStyle w:val="ac"/>
              <w:spacing w:beforeAutospacing="0" w:afterAutospacing="0"/>
              <w:jc w:val="center"/>
              <w:rPr>
                <w:sz w:val="21"/>
                <w:szCs w:val="21"/>
              </w:rPr>
            </w:pPr>
            <w:r w:rsidRPr="00464EFC">
              <w:rPr>
                <w:sz w:val="21"/>
                <w:szCs w:val="21"/>
              </w:rPr>
              <w:t>0.0405 J</w:t>
            </w:r>
          </w:p>
        </w:tc>
        <w:tc>
          <w:tcPr>
            <w:tcW w:w="2430" w:type="dxa"/>
            <w:tcBorders>
              <w:top w:val="nil"/>
              <w:bottom w:val="nil"/>
            </w:tcBorders>
            <w:tcMar>
              <w:left w:w="108" w:type="dxa"/>
              <w:right w:w="108" w:type="dxa"/>
            </w:tcMar>
            <w:vAlign w:val="center"/>
          </w:tcPr>
          <w:p w14:paraId="0C0877F0" w14:textId="77777777" w:rsidR="00B623EA" w:rsidRPr="00464EFC" w:rsidRDefault="00FF77AA" w:rsidP="00464EFC">
            <w:pPr>
              <w:pStyle w:val="ac"/>
              <w:spacing w:beforeAutospacing="0" w:afterAutospacing="0"/>
              <w:jc w:val="center"/>
              <w:rPr>
                <w:sz w:val="21"/>
                <w:szCs w:val="21"/>
              </w:rPr>
            </w:pPr>
            <w:r w:rsidRPr="00464EFC">
              <w:rPr>
                <w:sz w:val="21"/>
                <w:szCs w:val="21"/>
              </w:rPr>
              <w:t>10.12%</w:t>
            </w:r>
          </w:p>
        </w:tc>
      </w:tr>
      <w:tr w:rsidR="00B623EA" w:rsidRPr="00464EFC" w14:paraId="0ECC56FD" w14:textId="77777777">
        <w:trPr>
          <w:trHeight w:val="484"/>
          <w:tblCellSpacing w:w="0" w:type="dxa"/>
          <w:jc w:val="center"/>
        </w:trPr>
        <w:tc>
          <w:tcPr>
            <w:tcW w:w="1197" w:type="dxa"/>
            <w:tcBorders>
              <w:top w:val="nil"/>
              <w:bottom w:val="nil"/>
            </w:tcBorders>
            <w:tcMar>
              <w:left w:w="108" w:type="dxa"/>
              <w:right w:w="108" w:type="dxa"/>
            </w:tcMar>
            <w:vAlign w:val="center"/>
          </w:tcPr>
          <w:p w14:paraId="30BB9A7E" w14:textId="77777777" w:rsidR="00B623EA" w:rsidRPr="00464EFC" w:rsidRDefault="00FF77AA" w:rsidP="00464EFC">
            <w:pPr>
              <w:pStyle w:val="ac"/>
              <w:spacing w:beforeAutospacing="0" w:afterAutospacing="0"/>
              <w:jc w:val="center"/>
              <w:rPr>
                <w:sz w:val="21"/>
                <w:szCs w:val="21"/>
              </w:rPr>
            </w:pPr>
            <w:r w:rsidRPr="00464EFC">
              <w:rPr>
                <w:sz w:val="21"/>
                <w:szCs w:val="21"/>
              </w:rPr>
              <w:t>120 kpa</w:t>
            </w:r>
          </w:p>
        </w:tc>
        <w:tc>
          <w:tcPr>
            <w:tcW w:w="2218" w:type="dxa"/>
            <w:tcBorders>
              <w:top w:val="nil"/>
              <w:bottom w:val="nil"/>
            </w:tcBorders>
            <w:tcMar>
              <w:left w:w="108" w:type="dxa"/>
              <w:right w:w="108" w:type="dxa"/>
            </w:tcMar>
            <w:vAlign w:val="center"/>
          </w:tcPr>
          <w:p w14:paraId="282295B6" w14:textId="77777777" w:rsidR="00B623EA" w:rsidRPr="00464EFC" w:rsidRDefault="00FF77AA" w:rsidP="00464EFC">
            <w:pPr>
              <w:pStyle w:val="ac"/>
              <w:spacing w:beforeAutospacing="0" w:afterAutospacing="0"/>
              <w:jc w:val="center"/>
              <w:rPr>
                <w:sz w:val="21"/>
                <w:szCs w:val="21"/>
              </w:rPr>
            </w:pPr>
            <w:r w:rsidRPr="00464EFC">
              <w:rPr>
                <w:sz w:val="21"/>
                <w:szCs w:val="21"/>
              </w:rPr>
              <w:t>0.6 J+1.47×10</w:t>
            </w:r>
            <w:r w:rsidRPr="00464EFC">
              <w:rPr>
                <w:sz w:val="21"/>
                <w:szCs w:val="21"/>
                <w:vertAlign w:val="superscript"/>
              </w:rPr>
              <w:t xml:space="preserve">-4 </w:t>
            </w:r>
            <w:r w:rsidRPr="00464EFC">
              <w:rPr>
                <w:sz w:val="21"/>
                <w:szCs w:val="21"/>
              </w:rPr>
              <w:t>J</w:t>
            </w:r>
          </w:p>
        </w:tc>
        <w:tc>
          <w:tcPr>
            <w:tcW w:w="2253" w:type="dxa"/>
            <w:tcBorders>
              <w:top w:val="nil"/>
              <w:bottom w:val="nil"/>
            </w:tcBorders>
            <w:tcMar>
              <w:left w:w="108" w:type="dxa"/>
              <w:right w:w="108" w:type="dxa"/>
            </w:tcMar>
            <w:vAlign w:val="center"/>
          </w:tcPr>
          <w:p w14:paraId="51D63AF6" w14:textId="77777777" w:rsidR="00B623EA" w:rsidRPr="00464EFC" w:rsidRDefault="00FF77AA" w:rsidP="00464EFC">
            <w:pPr>
              <w:pStyle w:val="ac"/>
              <w:spacing w:beforeAutospacing="0" w:afterAutospacing="0"/>
              <w:jc w:val="center"/>
              <w:rPr>
                <w:sz w:val="21"/>
                <w:szCs w:val="21"/>
              </w:rPr>
            </w:pPr>
            <w:r w:rsidRPr="00464EFC">
              <w:rPr>
                <w:sz w:val="21"/>
                <w:szCs w:val="21"/>
              </w:rPr>
              <w:t>0.0687 J</w:t>
            </w:r>
          </w:p>
        </w:tc>
        <w:tc>
          <w:tcPr>
            <w:tcW w:w="2430" w:type="dxa"/>
            <w:tcBorders>
              <w:top w:val="nil"/>
              <w:bottom w:val="nil"/>
            </w:tcBorders>
            <w:tcMar>
              <w:left w:w="108" w:type="dxa"/>
              <w:right w:w="108" w:type="dxa"/>
            </w:tcMar>
            <w:vAlign w:val="center"/>
          </w:tcPr>
          <w:p w14:paraId="22A0D306" w14:textId="77777777" w:rsidR="00B623EA" w:rsidRPr="00464EFC" w:rsidRDefault="00FF77AA" w:rsidP="00464EFC">
            <w:pPr>
              <w:pStyle w:val="ac"/>
              <w:spacing w:beforeAutospacing="0" w:afterAutospacing="0"/>
              <w:jc w:val="center"/>
              <w:rPr>
                <w:sz w:val="21"/>
                <w:szCs w:val="21"/>
              </w:rPr>
            </w:pPr>
            <w:r w:rsidRPr="00464EFC">
              <w:rPr>
                <w:sz w:val="21"/>
                <w:szCs w:val="21"/>
              </w:rPr>
              <w:t>11.45%</w:t>
            </w:r>
          </w:p>
        </w:tc>
      </w:tr>
      <w:tr w:rsidR="00B623EA" w:rsidRPr="00464EFC" w14:paraId="712912A7" w14:textId="77777777">
        <w:trPr>
          <w:trHeight w:val="484"/>
          <w:tblCellSpacing w:w="0" w:type="dxa"/>
          <w:jc w:val="center"/>
        </w:trPr>
        <w:tc>
          <w:tcPr>
            <w:tcW w:w="1197" w:type="dxa"/>
            <w:tcBorders>
              <w:top w:val="nil"/>
              <w:bottom w:val="nil"/>
            </w:tcBorders>
            <w:tcMar>
              <w:left w:w="108" w:type="dxa"/>
              <w:right w:w="108" w:type="dxa"/>
            </w:tcMar>
            <w:vAlign w:val="center"/>
          </w:tcPr>
          <w:p w14:paraId="5031D82A" w14:textId="77777777" w:rsidR="00B623EA" w:rsidRPr="00464EFC" w:rsidRDefault="00FF77AA" w:rsidP="00464EFC">
            <w:pPr>
              <w:pStyle w:val="ac"/>
              <w:spacing w:beforeAutospacing="0" w:afterAutospacing="0"/>
              <w:jc w:val="center"/>
              <w:rPr>
                <w:sz w:val="21"/>
                <w:szCs w:val="21"/>
              </w:rPr>
            </w:pPr>
            <w:r w:rsidRPr="00464EFC">
              <w:rPr>
                <w:sz w:val="21"/>
                <w:szCs w:val="21"/>
              </w:rPr>
              <w:t>160 kpa</w:t>
            </w:r>
          </w:p>
        </w:tc>
        <w:tc>
          <w:tcPr>
            <w:tcW w:w="2218" w:type="dxa"/>
            <w:tcBorders>
              <w:top w:val="nil"/>
              <w:bottom w:val="nil"/>
            </w:tcBorders>
            <w:tcMar>
              <w:left w:w="108" w:type="dxa"/>
              <w:right w:w="108" w:type="dxa"/>
            </w:tcMar>
            <w:vAlign w:val="center"/>
          </w:tcPr>
          <w:p w14:paraId="233E9C33" w14:textId="77777777" w:rsidR="00B623EA" w:rsidRPr="00464EFC" w:rsidRDefault="00FF77AA" w:rsidP="00464EFC">
            <w:pPr>
              <w:pStyle w:val="ac"/>
              <w:spacing w:beforeAutospacing="0" w:afterAutospacing="0"/>
              <w:jc w:val="center"/>
              <w:rPr>
                <w:sz w:val="21"/>
                <w:szCs w:val="21"/>
              </w:rPr>
            </w:pPr>
            <w:r w:rsidRPr="00464EFC">
              <w:rPr>
                <w:sz w:val="21"/>
                <w:szCs w:val="21"/>
              </w:rPr>
              <w:t>0.8 J+1.47×10</w:t>
            </w:r>
            <w:r w:rsidRPr="00464EFC">
              <w:rPr>
                <w:sz w:val="21"/>
                <w:szCs w:val="21"/>
                <w:vertAlign w:val="superscript"/>
              </w:rPr>
              <w:t xml:space="preserve">-4 </w:t>
            </w:r>
            <w:r w:rsidRPr="00464EFC">
              <w:rPr>
                <w:sz w:val="21"/>
                <w:szCs w:val="21"/>
              </w:rPr>
              <w:t>J</w:t>
            </w:r>
          </w:p>
        </w:tc>
        <w:tc>
          <w:tcPr>
            <w:tcW w:w="2253" w:type="dxa"/>
            <w:tcBorders>
              <w:top w:val="nil"/>
              <w:bottom w:val="nil"/>
            </w:tcBorders>
            <w:tcMar>
              <w:left w:w="108" w:type="dxa"/>
              <w:right w:w="108" w:type="dxa"/>
            </w:tcMar>
            <w:vAlign w:val="center"/>
          </w:tcPr>
          <w:p w14:paraId="33FB1B4F" w14:textId="77777777" w:rsidR="00B623EA" w:rsidRPr="00464EFC" w:rsidRDefault="00FF77AA" w:rsidP="00464EFC">
            <w:pPr>
              <w:pStyle w:val="ac"/>
              <w:spacing w:beforeAutospacing="0" w:afterAutospacing="0"/>
              <w:jc w:val="center"/>
              <w:rPr>
                <w:sz w:val="21"/>
                <w:szCs w:val="21"/>
              </w:rPr>
            </w:pPr>
            <w:r w:rsidRPr="00464EFC">
              <w:rPr>
                <w:sz w:val="21"/>
                <w:szCs w:val="21"/>
              </w:rPr>
              <w:t>0.1105 J</w:t>
            </w:r>
          </w:p>
        </w:tc>
        <w:tc>
          <w:tcPr>
            <w:tcW w:w="2430" w:type="dxa"/>
            <w:tcBorders>
              <w:top w:val="nil"/>
              <w:bottom w:val="nil"/>
            </w:tcBorders>
            <w:tcMar>
              <w:left w:w="108" w:type="dxa"/>
              <w:right w:w="108" w:type="dxa"/>
            </w:tcMar>
            <w:vAlign w:val="center"/>
          </w:tcPr>
          <w:p w14:paraId="435363D1" w14:textId="77777777" w:rsidR="00B623EA" w:rsidRPr="00464EFC" w:rsidRDefault="00FF77AA" w:rsidP="00464EFC">
            <w:pPr>
              <w:pStyle w:val="ac"/>
              <w:spacing w:beforeAutospacing="0" w:afterAutospacing="0"/>
              <w:jc w:val="center"/>
              <w:rPr>
                <w:sz w:val="21"/>
                <w:szCs w:val="21"/>
              </w:rPr>
            </w:pPr>
            <w:r w:rsidRPr="00464EFC">
              <w:rPr>
                <w:sz w:val="21"/>
                <w:szCs w:val="21"/>
              </w:rPr>
              <w:t>13.8%</w:t>
            </w:r>
          </w:p>
        </w:tc>
      </w:tr>
      <w:tr w:rsidR="00B623EA" w:rsidRPr="00464EFC" w14:paraId="709B33C6" w14:textId="77777777">
        <w:trPr>
          <w:trHeight w:val="522"/>
          <w:tblCellSpacing w:w="0" w:type="dxa"/>
          <w:jc w:val="center"/>
        </w:trPr>
        <w:tc>
          <w:tcPr>
            <w:tcW w:w="1197" w:type="dxa"/>
            <w:tcBorders>
              <w:top w:val="nil"/>
              <w:bottom w:val="single" w:sz="4" w:space="0" w:color="auto"/>
            </w:tcBorders>
            <w:tcMar>
              <w:left w:w="108" w:type="dxa"/>
              <w:right w:w="108" w:type="dxa"/>
            </w:tcMar>
            <w:vAlign w:val="center"/>
          </w:tcPr>
          <w:p w14:paraId="4FBD86AE" w14:textId="77777777" w:rsidR="00B623EA" w:rsidRPr="00464EFC" w:rsidRDefault="00FF77AA" w:rsidP="00464EFC">
            <w:pPr>
              <w:pStyle w:val="ac"/>
              <w:spacing w:beforeAutospacing="0" w:afterAutospacing="0"/>
              <w:jc w:val="center"/>
              <w:rPr>
                <w:sz w:val="21"/>
                <w:szCs w:val="21"/>
              </w:rPr>
            </w:pPr>
            <w:r w:rsidRPr="00464EFC">
              <w:rPr>
                <w:sz w:val="21"/>
                <w:szCs w:val="21"/>
              </w:rPr>
              <w:t>200 kpa</w:t>
            </w:r>
          </w:p>
        </w:tc>
        <w:tc>
          <w:tcPr>
            <w:tcW w:w="2218" w:type="dxa"/>
            <w:tcBorders>
              <w:top w:val="nil"/>
              <w:bottom w:val="single" w:sz="4" w:space="0" w:color="auto"/>
            </w:tcBorders>
            <w:tcMar>
              <w:left w:w="108" w:type="dxa"/>
              <w:right w:w="108" w:type="dxa"/>
            </w:tcMar>
            <w:vAlign w:val="center"/>
          </w:tcPr>
          <w:p w14:paraId="34E49E59" w14:textId="77777777" w:rsidR="00B623EA" w:rsidRPr="00464EFC" w:rsidRDefault="00FF77AA" w:rsidP="00464EFC">
            <w:pPr>
              <w:pStyle w:val="ac"/>
              <w:spacing w:beforeAutospacing="0" w:afterAutospacing="0"/>
              <w:jc w:val="center"/>
              <w:rPr>
                <w:sz w:val="21"/>
                <w:szCs w:val="21"/>
              </w:rPr>
            </w:pPr>
            <w:r w:rsidRPr="00464EFC">
              <w:rPr>
                <w:sz w:val="21"/>
                <w:szCs w:val="21"/>
              </w:rPr>
              <w:t>1 J+1.47×10</w:t>
            </w:r>
            <w:r w:rsidRPr="00464EFC">
              <w:rPr>
                <w:sz w:val="21"/>
                <w:szCs w:val="21"/>
                <w:vertAlign w:val="superscript"/>
              </w:rPr>
              <w:t xml:space="preserve">-4 </w:t>
            </w:r>
            <w:r w:rsidRPr="00464EFC">
              <w:rPr>
                <w:sz w:val="21"/>
                <w:szCs w:val="21"/>
              </w:rPr>
              <w:t>J</w:t>
            </w:r>
          </w:p>
        </w:tc>
        <w:tc>
          <w:tcPr>
            <w:tcW w:w="2253" w:type="dxa"/>
            <w:tcBorders>
              <w:top w:val="nil"/>
              <w:bottom w:val="single" w:sz="4" w:space="0" w:color="auto"/>
            </w:tcBorders>
            <w:tcMar>
              <w:left w:w="108" w:type="dxa"/>
              <w:right w:w="108" w:type="dxa"/>
            </w:tcMar>
            <w:vAlign w:val="center"/>
          </w:tcPr>
          <w:p w14:paraId="419B8DB4" w14:textId="77777777" w:rsidR="00B623EA" w:rsidRPr="00464EFC" w:rsidRDefault="00FF77AA" w:rsidP="00464EFC">
            <w:pPr>
              <w:pStyle w:val="ac"/>
              <w:spacing w:beforeAutospacing="0" w:afterAutospacing="0"/>
              <w:jc w:val="center"/>
              <w:rPr>
                <w:sz w:val="21"/>
                <w:szCs w:val="21"/>
              </w:rPr>
            </w:pPr>
            <w:r w:rsidRPr="00464EFC">
              <w:rPr>
                <w:sz w:val="21"/>
                <w:szCs w:val="21"/>
              </w:rPr>
              <w:t>0.1226 J</w:t>
            </w:r>
          </w:p>
        </w:tc>
        <w:tc>
          <w:tcPr>
            <w:tcW w:w="2430" w:type="dxa"/>
            <w:tcBorders>
              <w:top w:val="nil"/>
              <w:bottom w:val="single" w:sz="4" w:space="0" w:color="auto"/>
            </w:tcBorders>
            <w:tcMar>
              <w:left w:w="108" w:type="dxa"/>
              <w:right w:w="108" w:type="dxa"/>
            </w:tcMar>
            <w:vAlign w:val="center"/>
          </w:tcPr>
          <w:p w14:paraId="07981646" w14:textId="77777777" w:rsidR="00B623EA" w:rsidRPr="00464EFC" w:rsidRDefault="00FF77AA" w:rsidP="00464EFC">
            <w:pPr>
              <w:pStyle w:val="ac"/>
              <w:spacing w:beforeAutospacing="0" w:afterAutospacing="0"/>
              <w:jc w:val="center"/>
              <w:rPr>
                <w:sz w:val="21"/>
                <w:szCs w:val="21"/>
              </w:rPr>
            </w:pPr>
            <w:r w:rsidRPr="00464EFC">
              <w:rPr>
                <w:sz w:val="21"/>
                <w:szCs w:val="21"/>
              </w:rPr>
              <w:t>12.25%</w:t>
            </w:r>
          </w:p>
        </w:tc>
      </w:tr>
    </w:tbl>
    <w:p w14:paraId="58468BFF" w14:textId="2291DFB5" w:rsidR="00B623EA" w:rsidRPr="00460FC2" w:rsidRDefault="00FF77AA" w:rsidP="00581B55">
      <w:pPr>
        <w:spacing w:beforeLines="50" w:before="156" w:afterLines="50" w:after="156"/>
      </w:pPr>
      <w:bookmarkStart w:id="11" w:name="_Hlk219140372"/>
      <w:r w:rsidRPr="00460FC2">
        <w:rPr>
          <w:b/>
          <w:bCs/>
        </w:rPr>
        <w:t>Table S2</w:t>
      </w:r>
      <w:r w:rsidRPr="00460FC2">
        <w:t xml:space="preserve"> The energy conversion efficiency of Auxetice-TENG at different bending displacements</w:t>
      </w:r>
    </w:p>
    <w:tbl>
      <w:tblPr>
        <w:tblW w:w="8478" w:type="dxa"/>
        <w:tblCellSpacing w:w="0" w:type="dxa"/>
        <w:tblCellMar>
          <w:left w:w="0" w:type="dxa"/>
          <w:right w:w="0" w:type="dxa"/>
        </w:tblCellMar>
        <w:tblLook w:val="04A0" w:firstRow="1" w:lastRow="0" w:firstColumn="1" w:lastColumn="0" w:noHBand="0" w:noVBand="1"/>
      </w:tblPr>
      <w:tblGrid>
        <w:gridCol w:w="1668"/>
        <w:gridCol w:w="2126"/>
        <w:gridCol w:w="2268"/>
        <w:gridCol w:w="2416"/>
      </w:tblGrid>
      <w:tr w:rsidR="00B623EA" w:rsidRPr="00464EFC" w14:paraId="4B296EDF" w14:textId="77777777" w:rsidTr="00F12860">
        <w:trPr>
          <w:trHeight w:val="340"/>
          <w:tblCellSpacing w:w="0" w:type="dxa"/>
        </w:trPr>
        <w:tc>
          <w:tcPr>
            <w:tcW w:w="1668" w:type="dxa"/>
            <w:tcBorders>
              <w:top w:val="single" w:sz="4" w:space="0" w:color="auto"/>
              <w:bottom w:val="nil"/>
            </w:tcBorders>
            <w:tcMar>
              <w:left w:w="108" w:type="dxa"/>
              <w:right w:w="108" w:type="dxa"/>
            </w:tcMar>
            <w:vAlign w:val="center"/>
          </w:tcPr>
          <w:p w14:paraId="75F93E6A" w14:textId="77777777" w:rsidR="00DF4A8C" w:rsidRPr="00464EFC" w:rsidRDefault="00FF77AA" w:rsidP="00F12860">
            <w:pPr>
              <w:pStyle w:val="ac"/>
              <w:spacing w:beforeAutospacing="0" w:afterAutospacing="0"/>
              <w:jc w:val="center"/>
              <w:rPr>
                <w:sz w:val="21"/>
                <w:szCs w:val="21"/>
              </w:rPr>
            </w:pPr>
            <w:r w:rsidRPr="00464EFC">
              <w:rPr>
                <w:sz w:val="21"/>
                <w:szCs w:val="21"/>
              </w:rPr>
              <w:t>Bending</w:t>
            </w:r>
          </w:p>
          <w:p w14:paraId="2D020AFB" w14:textId="3B097C7B" w:rsidR="00B623EA" w:rsidRPr="00464EFC" w:rsidRDefault="00FF77AA" w:rsidP="00F12860">
            <w:pPr>
              <w:pStyle w:val="ac"/>
              <w:spacing w:beforeAutospacing="0" w:afterAutospacing="0"/>
              <w:jc w:val="center"/>
              <w:rPr>
                <w:sz w:val="21"/>
                <w:szCs w:val="21"/>
              </w:rPr>
            </w:pPr>
            <w:r w:rsidRPr="00464EFC">
              <w:rPr>
                <w:sz w:val="21"/>
                <w:szCs w:val="21"/>
              </w:rPr>
              <w:t>displacement</w:t>
            </w:r>
          </w:p>
        </w:tc>
        <w:tc>
          <w:tcPr>
            <w:tcW w:w="2126" w:type="dxa"/>
            <w:tcBorders>
              <w:top w:val="single" w:sz="4" w:space="0" w:color="auto"/>
              <w:bottom w:val="nil"/>
            </w:tcBorders>
            <w:tcMar>
              <w:left w:w="108" w:type="dxa"/>
              <w:right w:w="108" w:type="dxa"/>
            </w:tcMar>
            <w:vAlign w:val="center"/>
          </w:tcPr>
          <w:p w14:paraId="24D4D26B" w14:textId="77777777" w:rsidR="00DF4A8C" w:rsidRPr="00464EFC" w:rsidRDefault="00FF77AA" w:rsidP="00F12860">
            <w:pPr>
              <w:pStyle w:val="ac"/>
              <w:spacing w:beforeAutospacing="0" w:afterAutospacing="0"/>
              <w:jc w:val="center"/>
              <w:rPr>
                <w:sz w:val="21"/>
                <w:szCs w:val="21"/>
              </w:rPr>
            </w:pPr>
            <w:r w:rsidRPr="00464EFC">
              <w:rPr>
                <w:sz w:val="21"/>
                <w:szCs w:val="21"/>
              </w:rPr>
              <w:t>Mechanical</w:t>
            </w:r>
            <w:r w:rsidR="00B074E9" w:rsidRPr="00464EFC">
              <w:rPr>
                <w:rFonts w:hint="eastAsia"/>
                <w:sz w:val="21"/>
                <w:szCs w:val="21"/>
              </w:rPr>
              <w:t xml:space="preserve"> </w:t>
            </w:r>
            <w:r w:rsidRPr="00464EFC">
              <w:rPr>
                <w:sz w:val="21"/>
                <w:szCs w:val="21"/>
              </w:rPr>
              <w:t>Energy</w:t>
            </w:r>
          </w:p>
          <w:p w14:paraId="4684BE4F" w14:textId="75DC7080" w:rsidR="00B623EA" w:rsidRPr="00464EFC" w:rsidRDefault="00FF77AA" w:rsidP="00F12860">
            <w:pPr>
              <w:pStyle w:val="ac"/>
              <w:spacing w:beforeAutospacing="0" w:afterAutospacing="0"/>
              <w:jc w:val="center"/>
              <w:rPr>
                <w:sz w:val="21"/>
                <w:szCs w:val="21"/>
              </w:rPr>
            </w:pPr>
            <w:r w:rsidRPr="00464EFC">
              <w:rPr>
                <w:sz w:val="21"/>
                <w:szCs w:val="21"/>
              </w:rPr>
              <w:t>E</w:t>
            </w:r>
            <w:r w:rsidRPr="00464EFC">
              <w:rPr>
                <w:sz w:val="21"/>
                <w:szCs w:val="21"/>
                <w:vertAlign w:val="subscript"/>
              </w:rPr>
              <w:t>in</w:t>
            </w:r>
          </w:p>
        </w:tc>
        <w:tc>
          <w:tcPr>
            <w:tcW w:w="2268" w:type="dxa"/>
            <w:tcBorders>
              <w:top w:val="single" w:sz="4" w:space="0" w:color="auto"/>
              <w:bottom w:val="nil"/>
            </w:tcBorders>
            <w:tcMar>
              <w:left w:w="108" w:type="dxa"/>
              <w:right w:w="108" w:type="dxa"/>
            </w:tcMar>
            <w:vAlign w:val="center"/>
          </w:tcPr>
          <w:p w14:paraId="70955600" w14:textId="77777777" w:rsidR="00DF4A8C" w:rsidRPr="00464EFC" w:rsidRDefault="00FF77AA" w:rsidP="00F12860">
            <w:pPr>
              <w:pStyle w:val="ac"/>
              <w:spacing w:beforeAutospacing="0" w:afterAutospacing="0"/>
              <w:jc w:val="center"/>
              <w:rPr>
                <w:sz w:val="21"/>
                <w:szCs w:val="21"/>
              </w:rPr>
            </w:pPr>
            <w:r w:rsidRPr="00464EFC">
              <w:rPr>
                <w:sz w:val="21"/>
                <w:szCs w:val="21"/>
              </w:rPr>
              <w:t>Triboelectric Energy</w:t>
            </w:r>
          </w:p>
          <w:p w14:paraId="408A1D58" w14:textId="1399065A" w:rsidR="00B623EA" w:rsidRPr="00464EFC" w:rsidRDefault="00FF77AA" w:rsidP="00F12860">
            <w:pPr>
              <w:pStyle w:val="ac"/>
              <w:spacing w:beforeAutospacing="0" w:afterAutospacing="0"/>
              <w:jc w:val="center"/>
              <w:rPr>
                <w:sz w:val="21"/>
                <w:szCs w:val="21"/>
              </w:rPr>
            </w:pPr>
            <w:r w:rsidRPr="00464EFC">
              <w:rPr>
                <w:sz w:val="21"/>
                <w:szCs w:val="21"/>
              </w:rPr>
              <w:t>E</w:t>
            </w:r>
            <w:r w:rsidRPr="00464EFC">
              <w:rPr>
                <w:sz w:val="21"/>
                <w:szCs w:val="21"/>
                <w:vertAlign w:val="subscript"/>
              </w:rPr>
              <w:t>out</w:t>
            </w:r>
          </w:p>
        </w:tc>
        <w:tc>
          <w:tcPr>
            <w:tcW w:w="2416" w:type="dxa"/>
            <w:tcBorders>
              <w:top w:val="single" w:sz="4" w:space="0" w:color="auto"/>
              <w:bottom w:val="nil"/>
            </w:tcBorders>
            <w:tcMar>
              <w:left w:w="108" w:type="dxa"/>
              <w:right w:w="108" w:type="dxa"/>
            </w:tcMar>
            <w:vAlign w:val="center"/>
          </w:tcPr>
          <w:p w14:paraId="2C7AE36A" w14:textId="77777777" w:rsidR="00DF4A8C" w:rsidRPr="00464EFC" w:rsidRDefault="00FF77AA" w:rsidP="00F12860">
            <w:pPr>
              <w:pStyle w:val="ac"/>
              <w:spacing w:beforeAutospacing="0" w:afterAutospacing="0"/>
              <w:jc w:val="center"/>
              <w:rPr>
                <w:sz w:val="21"/>
                <w:szCs w:val="21"/>
              </w:rPr>
            </w:pPr>
            <w:r w:rsidRPr="00464EFC">
              <w:rPr>
                <w:sz w:val="21"/>
                <w:szCs w:val="21"/>
              </w:rPr>
              <w:t>Conversion Efficiency</w:t>
            </w:r>
          </w:p>
          <w:p w14:paraId="17F91F10" w14:textId="2C113DC1" w:rsidR="00B623EA" w:rsidRPr="00464EFC" w:rsidRDefault="00FF77AA" w:rsidP="00F12860">
            <w:pPr>
              <w:pStyle w:val="ac"/>
              <w:spacing w:beforeAutospacing="0" w:afterAutospacing="0"/>
              <w:jc w:val="center"/>
              <w:rPr>
                <w:sz w:val="21"/>
                <w:szCs w:val="21"/>
              </w:rPr>
            </w:pPr>
            <w:r w:rsidRPr="00464EFC">
              <w:rPr>
                <w:sz w:val="21"/>
                <w:szCs w:val="21"/>
              </w:rPr>
              <w:t>η</w:t>
            </w:r>
            <w:r w:rsidRPr="00464EFC">
              <w:rPr>
                <w:sz w:val="21"/>
                <w:szCs w:val="21"/>
                <w:vertAlign w:val="subscript"/>
              </w:rPr>
              <w:t>2</w:t>
            </w:r>
          </w:p>
        </w:tc>
      </w:tr>
      <w:tr w:rsidR="00B623EA" w:rsidRPr="00464EFC" w14:paraId="79C98E4E" w14:textId="77777777" w:rsidTr="00F12860">
        <w:trPr>
          <w:trHeight w:val="340"/>
          <w:tblCellSpacing w:w="0" w:type="dxa"/>
        </w:trPr>
        <w:tc>
          <w:tcPr>
            <w:tcW w:w="1668" w:type="dxa"/>
            <w:tcBorders>
              <w:top w:val="single" w:sz="4" w:space="0" w:color="auto"/>
              <w:bottom w:val="nil"/>
            </w:tcBorders>
            <w:tcMar>
              <w:left w:w="108" w:type="dxa"/>
              <w:right w:w="108" w:type="dxa"/>
            </w:tcMar>
            <w:vAlign w:val="center"/>
          </w:tcPr>
          <w:p w14:paraId="0F8F347C" w14:textId="77777777" w:rsidR="00B623EA" w:rsidRPr="00464EFC" w:rsidRDefault="00FF77AA" w:rsidP="00F12860">
            <w:pPr>
              <w:pStyle w:val="ac"/>
              <w:spacing w:beforeAutospacing="0" w:afterAutospacing="0"/>
              <w:jc w:val="center"/>
              <w:rPr>
                <w:sz w:val="21"/>
                <w:szCs w:val="21"/>
              </w:rPr>
            </w:pPr>
            <w:r w:rsidRPr="00464EFC">
              <w:rPr>
                <w:sz w:val="21"/>
                <w:szCs w:val="21"/>
              </w:rPr>
              <w:t>4 mm</w:t>
            </w:r>
          </w:p>
        </w:tc>
        <w:tc>
          <w:tcPr>
            <w:tcW w:w="2126" w:type="dxa"/>
            <w:tcBorders>
              <w:top w:val="single" w:sz="4" w:space="0" w:color="auto"/>
              <w:bottom w:val="nil"/>
            </w:tcBorders>
            <w:tcMar>
              <w:left w:w="108" w:type="dxa"/>
              <w:right w:w="108" w:type="dxa"/>
            </w:tcMar>
            <w:vAlign w:val="center"/>
          </w:tcPr>
          <w:p w14:paraId="03DD39DD" w14:textId="1C320B76" w:rsidR="00B623EA" w:rsidRPr="00464EFC" w:rsidRDefault="00FF77AA" w:rsidP="00F12860">
            <w:pPr>
              <w:pStyle w:val="ac"/>
              <w:spacing w:beforeAutospacing="0" w:afterAutospacing="0"/>
              <w:jc w:val="center"/>
              <w:rPr>
                <w:sz w:val="21"/>
                <w:szCs w:val="21"/>
              </w:rPr>
            </w:pPr>
            <w:r w:rsidRPr="00464EFC">
              <w:rPr>
                <w:sz w:val="21"/>
                <w:szCs w:val="21"/>
              </w:rPr>
              <w:t>0.000564 J</w:t>
            </w:r>
          </w:p>
        </w:tc>
        <w:tc>
          <w:tcPr>
            <w:tcW w:w="2268" w:type="dxa"/>
            <w:tcBorders>
              <w:top w:val="single" w:sz="4" w:space="0" w:color="auto"/>
              <w:bottom w:val="nil"/>
            </w:tcBorders>
            <w:tcMar>
              <w:left w:w="108" w:type="dxa"/>
              <w:right w:w="108" w:type="dxa"/>
            </w:tcMar>
            <w:vAlign w:val="center"/>
          </w:tcPr>
          <w:p w14:paraId="59018B55" w14:textId="317D4607" w:rsidR="00B623EA" w:rsidRPr="00464EFC" w:rsidRDefault="00FF77AA" w:rsidP="00F12860">
            <w:pPr>
              <w:pStyle w:val="ac"/>
              <w:spacing w:beforeAutospacing="0" w:afterAutospacing="0"/>
              <w:jc w:val="center"/>
              <w:rPr>
                <w:sz w:val="21"/>
                <w:szCs w:val="21"/>
              </w:rPr>
            </w:pPr>
            <w:r w:rsidRPr="00464EFC">
              <w:rPr>
                <w:sz w:val="21"/>
                <w:szCs w:val="21"/>
              </w:rPr>
              <w:t>0.0001773 J</w:t>
            </w:r>
          </w:p>
        </w:tc>
        <w:tc>
          <w:tcPr>
            <w:tcW w:w="2416" w:type="dxa"/>
            <w:tcBorders>
              <w:top w:val="single" w:sz="4" w:space="0" w:color="auto"/>
              <w:bottom w:val="nil"/>
            </w:tcBorders>
            <w:tcMar>
              <w:left w:w="108" w:type="dxa"/>
              <w:right w:w="108" w:type="dxa"/>
            </w:tcMar>
            <w:vAlign w:val="center"/>
          </w:tcPr>
          <w:p w14:paraId="2B4B10A0" w14:textId="77777777" w:rsidR="00B623EA" w:rsidRPr="00464EFC" w:rsidRDefault="00FF77AA" w:rsidP="00F12860">
            <w:pPr>
              <w:pStyle w:val="ac"/>
              <w:spacing w:beforeAutospacing="0" w:afterAutospacing="0"/>
              <w:jc w:val="center"/>
              <w:rPr>
                <w:sz w:val="21"/>
                <w:szCs w:val="21"/>
              </w:rPr>
            </w:pPr>
            <w:r w:rsidRPr="00464EFC">
              <w:rPr>
                <w:sz w:val="21"/>
                <w:szCs w:val="21"/>
              </w:rPr>
              <w:t>31.3%</w:t>
            </w:r>
          </w:p>
        </w:tc>
      </w:tr>
      <w:tr w:rsidR="00B623EA" w:rsidRPr="00464EFC" w14:paraId="222EECEB" w14:textId="77777777" w:rsidTr="00F12860">
        <w:trPr>
          <w:trHeight w:val="340"/>
          <w:tblCellSpacing w:w="0" w:type="dxa"/>
        </w:trPr>
        <w:tc>
          <w:tcPr>
            <w:tcW w:w="1668" w:type="dxa"/>
            <w:tcBorders>
              <w:top w:val="nil"/>
              <w:bottom w:val="nil"/>
            </w:tcBorders>
            <w:tcMar>
              <w:left w:w="108" w:type="dxa"/>
              <w:right w:w="108" w:type="dxa"/>
            </w:tcMar>
            <w:vAlign w:val="center"/>
          </w:tcPr>
          <w:p w14:paraId="446551C7" w14:textId="77777777" w:rsidR="00B623EA" w:rsidRPr="00464EFC" w:rsidRDefault="00FF77AA" w:rsidP="00F12860">
            <w:pPr>
              <w:pStyle w:val="ac"/>
              <w:spacing w:beforeAutospacing="0" w:afterAutospacing="0"/>
              <w:jc w:val="center"/>
              <w:rPr>
                <w:sz w:val="21"/>
                <w:szCs w:val="21"/>
              </w:rPr>
            </w:pPr>
            <w:r w:rsidRPr="00464EFC">
              <w:rPr>
                <w:sz w:val="21"/>
                <w:szCs w:val="21"/>
              </w:rPr>
              <w:t>8 mm</w:t>
            </w:r>
          </w:p>
        </w:tc>
        <w:tc>
          <w:tcPr>
            <w:tcW w:w="2126" w:type="dxa"/>
            <w:tcBorders>
              <w:top w:val="nil"/>
              <w:bottom w:val="nil"/>
            </w:tcBorders>
            <w:tcMar>
              <w:left w:w="108" w:type="dxa"/>
              <w:right w:w="108" w:type="dxa"/>
            </w:tcMar>
            <w:vAlign w:val="center"/>
          </w:tcPr>
          <w:p w14:paraId="7DFF1A7A" w14:textId="42445CB3" w:rsidR="00B623EA" w:rsidRPr="00464EFC" w:rsidRDefault="00FF77AA" w:rsidP="00F12860">
            <w:pPr>
              <w:pStyle w:val="ac"/>
              <w:spacing w:beforeAutospacing="0" w:afterAutospacing="0"/>
              <w:jc w:val="center"/>
              <w:rPr>
                <w:sz w:val="21"/>
                <w:szCs w:val="21"/>
              </w:rPr>
            </w:pPr>
            <w:r w:rsidRPr="00464EFC">
              <w:rPr>
                <w:sz w:val="21"/>
                <w:szCs w:val="21"/>
              </w:rPr>
              <w:t>0.000826 J</w:t>
            </w:r>
          </w:p>
        </w:tc>
        <w:tc>
          <w:tcPr>
            <w:tcW w:w="2268" w:type="dxa"/>
            <w:tcBorders>
              <w:top w:val="nil"/>
              <w:bottom w:val="nil"/>
            </w:tcBorders>
            <w:tcMar>
              <w:left w:w="108" w:type="dxa"/>
              <w:right w:w="108" w:type="dxa"/>
            </w:tcMar>
            <w:vAlign w:val="center"/>
          </w:tcPr>
          <w:p w14:paraId="3EA7BCB2" w14:textId="0DE0AD1C" w:rsidR="00B623EA" w:rsidRPr="00464EFC" w:rsidRDefault="00FF77AA" w:rsidP="00F12860">
            <w:pPr>
              <w:pStyle w:val="ac"/>
              <w:spacing w:beforeAutospacing="0" w:afterAutospacing="0"/>
              <w:jc w:val="center"/>
              <w:rPr>
                <w:sz w:val="21"/>
                <w:szCs w:val="21"/>
              </w:rPr>
            </w:pPr>
            <w:r w:rsidRPr="00464EFC">
              <w:rPr>
                <w:sz w:val="21"/>
                <w:szCs w:val="21"/>
              </w:rPr>
              <w:t>0.000204 J</w:t>
            </w:r>
          </w:p>
        </w:tc>
        <w:tc>
          <w:tcPr>
            <w:tcW w:w="2416" w:type="dxa"/>
            <w:tcBorders>
              <w:top w:val="nil"/>
              <w:bottom w:val="nil"/>
            </w:tcBorders>
            <w:tcMar>
              <w:left w:w="108" w:type="dxa"/>
              <w:right w:w="108" w:type="dxa"/>
            </w:tcMar>
            <w:vAlign w:val="center"/>
          </w:tcPr>
          <w:p w14:paraId="43FED49A" w14:textId="77777777" w:rsidR="00B623EA" w:rsidRPr="00464EFC" w:rsidRDefault="00FF77AA" w:rsidP="00F12860">
            <w:pPr>
              <w:pStyle w:val="ac"/>
              <w:spacing w:beforeAutospacing="0" w:afterAutospacing="0"/>
              <w:jc w:val="center"/>
              <w:rPr>
                <w:sz w:val="21"/>
                <w:szCs w:val="21"/>
              </w:rPr>
            </w:pPr>
            <w:r w:rsidRPr="00464EFC">
              <w:rPr>
                <w:sz w:val="21"/>
                <w:szCs w:val="21"/>
              </w:rPr>
              <w:t>24.7%</w:t>
            </w:r>
          </w:p>
        </w:tc>
      </w:tr>
      <w:tr w:rsidR="00B623EA" w:rsidRPr="00464EFC" w14:paraId="7A086B2A" w14:textId="77777777" w:rsidTr="00F12860">
        <w:trPr>
          <w:trHeight w:val="340"/>
          <w:tblCellSpacing w:w="0" w:type="dxa"/>
        </w:trPr>
        <w:tc>
          <w:tcPr>
            <w:tcW w:w="1668" w:type="dxa"/>
            <w:tcBorders>
              <w:top w:val="nil"/>
              <w:bottom w:val="nil"/>
            </w:tcBorders>
            <w:tcMar>
              <w:left w:w="108" w:type="dxa"/>
              <w:right w:w="108" w:type="dxa"/>
            </w:tcMar>
            <w:vAlign w:val="center"/>
          </w:tcPr>
          <w:p w14:paraId="7D43A618" w14:textId="77777777" w:rsidR="00B623EA" w:rsidRPr="00464EFC" w:rsidRDefault="00FF77AA" w:rsidP="00F12860">
            <w:pPr>
              <w:pStyle w:val="ac"/>
              <w:spacing w:beforeAutospacing="0" w:afterAutospacing="0"/>
              <w:jc w:val="center"/>
              <w:rPr>
                <w:sz w:val="21"/>
                <w:szCs w:val="21"/>
              </w:rPr>
            </w:pPr>
            <w:r w:rsidRPr="00464EFC">
              <w:rPr>
                <w:sz w:val="21"/>
                <w:szCs w:val="21"/>
              </w:rPr>
              <w:t>12 mm</w:t>
            </w:r>
          </w:p>
        </w:tc>
        <w:tc>
          <w:tcPr>
            <w:tcW w:w="2126" w:type="dxa"/>
            <w:tcBorders>
              <w:top w:val="nil"/>
              <w:bottom w:val="nil"/>
            </w:tcBorders>
            <w:tcMar>
              <w:left w:w="108" w:type="dxa"/>
              <w:right w:w="108" w:type="dxa"/>
            </w:tcMar>
            <w:vAlign w:val="center"/>
          </w:tcPr>
          <w:p w14:paraId="2747E5CD" w14:textId="01E2955D" w:rsidR="00B623EA" w:rsidRPr="00464EFC" w:rsidRDefault="00FF77AA" w:rsidP="00F12860">
            <w:pPr>
              <w:pStyle w:val="ac"/>
              <w:spacing w:beforeAutospacing="0" w:afterAutospacing="0"/>
              <w:jc w:val="center"/>
              <w:rPr>
                <w:sz w:val="21"/>
                <w:szCs w:val="21"/>
              </w:rPr>
            </w:pPr>
            <w:r w:rsidRPr="00464EFC">
              <w:rPr>
                <w:sz w:val="21"/>
                <w:szCs w:val="21"/>
              </w:rPr>
              <w:t>0.0039 J</w:t>
            </w:r>
          </w:p>
        </w:tc>
        <w:tc>
          <w:tcPr>
            <w:tcW w:w="2268" w:type="dxa"/>
            <w:tcBorders>
              <w:top w:val="nil"/>
              <w:bottom w:val="nil"/>
            </w:tcBorders>
            <w:tcMar>
              <w:left w:w="108" w:type="dxa"/>
              <w:right w:w="108" w:type="dxa"/>
            </w:tcMar>
            <w:vAlign w:val="center"/>
          </w:tcPr>
          <w:p w14:paraId="0C479F59" w14:textId="4AD4F310" w:rsidR="00B623EA" w:rsidRPr="00464EFC" w:rsidRDefault="00FF77AA" w:rsidP="00F12860">
            <w:pPr>
              <w:pStyle w:val="ac"/>
              <w:spacing w:beforeAutospacing="0" w:afterAutospacing="0"/>
              <w:jc w:val="center"/>
              <w:rPr>
                <w:sz w:val="21"/>
                <w:szCs w:val="21"/>
              </w:rPr>
            </w:pPr>
            <w:r w:rsidRPr="00464EFC">
              <w:rPr>
                <w:sz w:val="21"/>
                <w:szCs w:val="21"/>
              </w:rPr>
              <w:t>0.000632 J</w:t>
            </w:r>
          </w:p>
        </w:tc>
        <w:tc>
          <w:tcPr>
            <w:tcW w:w="2416" w:type="dxa"/>
            <w:tcBorders>
              <w:top w:val="nil"/>
              <w:bottom w:val="nil"/>
            </w:tcBorders>
            <w:tcMar>
              <w:left w:w="108" w:type="dxa"/>
              <w:right w:w="108" w:type="dxa"/>
            </w:tcMar>
            <w:vAlign w:val="center"/>
          </w:tcPr>
          <w:p w14:paraId="32B8E3D0" w14:textId="77777777" w:rsidR="00B623EA" w:rsidRPr="00464EFC" w:rsidRDefault="00FF77AA" w:rsidP="00F12860">
            <w:pPr>
              <w:pStyle w:val="ac"/>
              <w:spacing w:beforeAutospacing="0" w:afterAutospacing="0"/>
              <w:jc w:val="center"/>
              <w:rPr>
                <w:sz w:val="21"/>
                <w:szCs w:val="21"/>
              </w:rPr>
            </w:pPr>
            <w:r w:rsidRPr="00464EFC">
              <w:rPr>
                <w:sz w:val="21"/>
                <w:szCs w:val="21"/>
              </w:rPr>
              <w:t>16.2%</w:t>
            </w:r>
          </w:p>
        </w:tc>
      </w:tr>
      <w:tr w:rsidR="00B623EA" w:rsidRPr="00464EFC" w14:paraId="3BB4A7E1" w14:textId="77777777" w:rsidTr="00F12860">
        <w:trPr>
          <w:trHeight w:val="340"/>
          <w:tblCellSpacing w:w="0" w:type="dxa"/>
        </w:trPr>
        <w:tc>
          <w:tcPr>
            <w:tcW w:w="1668" w:type="dxa"/>
            <w:tcBorders>
              <w:top w:val="nil"/>
              <w:bottom w:val="nil"/>
            </w:tcBorders>
            <w:tcMar>
              <w:left w:w="108" w:type="dxa"/>
              <w:right w:w="108" w:type="dxa"/>
            </w:tcMar>
            <w:vAlign w:val="center"/>
          </w:tcPr>
          <w:p w14:paraId="30042AD6" w14:textId="77777777" w:rsidR="00B623EA" w:rsidRPr="00464EFC" w:rsidRDefault="00FF77AA" w:rsidP="00F12860">
            <w:pPr>
              <w:pStyle w:val="ac"/>
              <w:spacing w:beforeAutospacing="0" w:afterAutospacing="0"/>
              <w:jc w:val="center"/>
              <w:rPr>
                <w:sz w:val="21"/>
                <w:szCs w:val="21"/>
              </w:rPr>
            </w:pPr>
            <w:r w:rsidRPr="00464EFC">
              <w:rPr>
                <w:sz w:val="21"/>
                <w:szCs w:val="21"/>
              </w:rPr>
              <w:t>16 mm</w:t>
            </w:r>
          </w:p>
        </w:tc>
        <w:tc>
          <w:tcPr>
            <w:tcW w:w="2126" w:type="dxa"/>
            <w:tcBorders>
              <w:top w:val="nil"/>
              <w:bottom w:val="nil"/>
            </w:tcBorders>
            <w:tcMar>
              <w:left w:w="108" w:type="dxa"/>
              <w:right w:w="108" w:type="dxa"/>
            </w:tcMar>
            <w:vAlign w:val="center"/>
          </w:tcPr>
          <w:p w14:paraId="2AEC21E5" w14:textId="57569F12" w:rsidR="00B623EA" w:rsidRPr="00464EFC" w:rsidRDefault="00FF77AA" w:rsidP="00F12860">
            <w:pPr>
              <w:pStyle w:val="ac"/>
              <w:spacing w:beforeAutospacing="0" w:afterAutospacing="0"/>
              <w:jc w:val="center"/>
              <w:rPr>
                <w:sz w:val="21"/>
                <w:szCs w:val="21"/>
              </w:rPr>
            </w:pPr>
            <w:r w:rsidRPr="00464EFC">
              <w:rPr>
                <w:sz w:val="21"/>
                <w:szCs w:val="21"/>
              </w:rPr>
              <w:t>0.011 J</w:t>
            </w:r>
          </w:p>
        </w:tc>
        <w:tc>
          <w:tcPr>
            <w:tcW w:w="2268" w:type="dxa"/>
            <w:tcBorders>
              <w:top w:val="nil"/>
              <w:bottom w:val="nil"/>
            </w:tcBorders>
            <w:tcMar>
              <w:left w:w="108" w:type="dxa"/>
              <w:right w:w="108" w:type="dxa"/>
            </w:tcMar>
            <w:vAlign w:val="center"/>
          </w:tcPr>
          <w:p w14:paraId="3FDD12FA" w14:textId="78198C8B" w:rsidR="00B623EA" w:rsidRPr="00464EFC" w:rsidRDefault="00FF77AA" w:rsidP="00F12860">
            <w:pPr>
              <w:pStyle w:val="ac"/>
              <w:spacing w:beforeAutospacing="0" w:afterAutospacing="0"/>
              <w:jc w:val="center"/>
              <w:rPr>
                <w:sz w:val="21"/>
                <w:szCs w:val="21"/>
              </w:rPr>
            </w:pPr>
            <w:r w:rsidRPr="00464EFC">
              <w:rPr>
                <w:sz w:val="21"/>
                <w:szCs w:val="21"/>
              </w:rPr>
              <w:t>0.00137 J</w:t>
            </w:r>
          </w:p>
        </w:tc>
        <w:tc>
          <w:tcPr>
            <w:tcW w:w="2416" w:type="dxa"/>
            <w:tcBorders>
              <w:top w:val="nil"/>
              <w:bottom w:val="nil"/>
            </w:tcBorders>
            <w:tcMar>
              <w:left w:w="108" w:type="dxa"/>
              <w:right w:w="108" w:type="dxa"/>
            </w:tcMar>
            <w:vAlign w:val="center"/>
          </w:tcPr>
          <w:p w14:paraId="1F2DD0EC" w14:textId="77777777" w:rsidR="00B623EA" w:rsidRPr="00464EFC" w:rsidRDefault="00FF77AA" w:rsidP="00F12860">
            <w:pPr>
              <w:pStyle w:val="ac"/>
              <w:spacing w:beforeAutospacing="0" w:afterAutospacing="0"/>
              <w:jc w:val="center"/>
              <w:rPr>
                <w:sz w:val="21"/>
                <w:szCs w:val="21"/>
              </w:rPr>
            </w:pPr>
            <w:r w:rsidRPr="00464EFC">
              <w:rPr>
                <w:sz w:val="21"/>
                <w:szCs w:val="21"/>
              </w:rPr>
              <w:t>12.45%</w:t>
            </w:r>
          </w:p>
        </w:tc>
      </w:tr>
      <w:tr w:rsidR="00B623EA" w:rsidRPr="00464EFC" w14:paraId="3E3A1EAC" w14:textId="77777777" w:rsidTr="00F12860">
        <w:trPr>
          <w:trHeight w:val="340"/>
          <w:tblCellSpacing w:w="0" w:type="dxa"/>
        </w:trPr>
        <w:tc>
          <w:tcPr>
            <w:tcW w:w="1668" w:type="dxa"/>
            <w:tcBorders>
              <w:top w:val="nil"/>
              <w:bottom w:val="single" w:sz="4" w:space="0" w:color="auto"/>
            </w:tcBorders>
            <w:tcMar>
              <w:left w:w="108" w:type="dxa"/>
              <w:right w:w="108" w:type="dxa"/>
            </w:tcMar>
            <w:vAlign w:val="center"/>
          </w:tcPr>
          <w:p w14:paraId="1C993AC8" w14:textId="77777777" w:rsidR="00B623EA" w:rsidRPr="00464EFC" w:rsidRDefault="00FF77AA" w:rsidP="00F12860">
            <w:pPr>
              <w:pStyle w:val="ac"/>
              <w:spacing w:beforeAutospacing="0" w:afterAutospacing="0"/>
              <w:jc w:val="center"/>
              <w:rPr>
                <w:sz w:val="21"/>
                <w:szCs w:val="21"/>
              </w:rPr>
            </w:pPr>
            <w:r w:rsidRPr="00464EFC">
              <w:rPr>
                <w:sz w:val="21"/>
                <w:szCs w:val="21"/>
              </w:rPr>
              <w:t>20 mm</w:t>
            </w:r>
          </w:p>
        </w:tc>
        <w:tc>
          <w:tcPr>
            <w:tcW w:w="2126" w:type="dxa"/>
            <w:tcBorders>
              <w:top w:val="nil"/>
              <w:bottom w:val="single" w:sz="4" w:space="0" w:color="auto"/>
            </w:tcBorders>
            <w:tcMar>
              <w:left w:w="108" w:type="dxa"/>
              <w:right w:w="108" w:type="dxa"/>
            </w:tcMar>
            <w:vAlign w:val="center"/>
          </w:tcPr>
          <w:p w14:paraId="3D70CE8B" w14:textId="68E5EBC4" w:rsidR="00B623EA" w:rsidRPr="00464EFC" w:rsidRDefault="00FF77AA" w:rsidP="00F12860">
            <w:pPr>
              <w:pStyle w:val="ac"/>
              <w:spacing w:beforeAutospacing="0" w:afterAutospacing="0"/>
              <w:jc w:val="center"/>
              <w:rPr>
                <w:sz w:val="21"/>
                <w:szCs w:val="21"/>
              </w:rPr>
            </w:pPr>
            <w:r w:rsidRPr="00464EFC">
              <w:rPr>
                <w:sz w:val="21"/>
                <w:szCs w:val="21"/>
              </w:rPr>
              <w:t>0.024 J</w:t>
            </w:r>
          </w:p>
        </w:tc>
        <w:tc>
          <w:tcPr>
            <w:tcW w:w="2268" w:type="dxa"/>
            <w:tcBorders>
              <w:top w:val="nil"/>
              <w:bottom w:val="single" w:sz="4" w:space="0" w:color="auto"/>
            </w:tcBorders>
            <w:tcMar>
              <w:left w:w="108" w:type="dxa"/>
              <w:right w:w="108" w:type="dxa"/>
            </w:tcMar>
            <w:vAlign w:val="center"/>
          </w:tcPr>
          <w:p w14:paraId="2BB073B4" w14:textId="19294B35" w:rsidR="00B623EA" w:rsidRPr="00464EFC" w:rsidRDefault="00FF77AA" w:rsidP="00F12860">
            <w:pPr>
              <w:pStyle w:val="ac"/>
              <w:spacing w:beforeAutospacing="0" w:afterAutospacing="0"/>
              <w:jc w:val="center"/>
              <w:rPr>
                <w:sz w:val="21"/>
                <w:szCs w:val="21"/>
              </w:rPr>
            </w:pPr>
            <w:r w:rsidRPr="00464EFC">
              <w:rPr>
                <w:sz w:val="21"/>
                <w:szCs w:val="21"/>
              </w:rPr>
              <w:t>0.00182 J</w:t>
            </w:r>
          </w:p>
        </w:tc>
        <w:tc>
          <w:tcPr>
            <w:tcW w:w="2416" w:type="dxa"/>
            <w:tcBorders>
              <w:top w:val="nil"/>
              <w:bottom w:val="single" w:sz="4" w:space="0" w:color="auto"/>
            </w:tcBorders>
            <w:tcMar>
              <w:left w:w="108" w:type="dxa"/>
              <w:right w:w="108" w:type="dxa"/>
            </w:tcMar>
            <w:vAlign w:val="center"/>
          </w:tcPr>
          <w:p w14:paraId="2B5385A0" w14:textId="77777777" w:rsidR="00B623EA" w:rsidRPr="00464EFC" w:rsidRDefault="00FF77AA" w:rsidP="00F12860">
            <w:pPr>
              <w:pStyle w:val="ac"/>
              <w:spacing w:beforeAutospacing="0" w:afterAutospacing="0"/>
              <w:jc w:val="center"/>
              <w:rPr>
                <w:sz w:val="21"/>
                <w:szCs w:val="21"/>
              </w:rPr>
            </w:pPr>
            <w:r w:rsidRPr="00464EFC">
              <w:rPr>
                <w:sz w:val="21"/>
                <w:szCs w:val="21"/>
              </w:rPr>
              <w:t>7.58%</w:t>
            </w:r>
          </w:p>
        </w:tc>
      </w:tr>
    </w:tbl>
    <w:bookmarkEnd w:id="11"/>
    <w:p w14:paraId="56F42EFE" w14:textId="3E335AA8" w:rsidR="00B623EA" w:rsidRPr="00460FC2" w:rsidRDefault="00FF77AA" w:rsidP="00464EFC">
      <w:pPr>
        <w:spacing w:beforeLines="100" w:before="312" w:afterLines="50" w:after="156"/>
      </w:pPr>
      <w:r w:rsidRPr="00460FC2">
        <w:rPr>
          <w:b/>
          <w:bCs/>
        </w:rPr>
        <w:t>Table S3</w:t>
      </w:r>
      <w:r w:rsidRPr="00460FC2">
        <w:t xml:space="preserve"> The energy conversion efficiency of Non-Auxetice-TENG at different bending displacements</w:t>
      </w:r>
    </w:p>
    <w:tbl>
      <w:tblPr>
        <w:tblW w:w="8538" w:type="dxa"/>
        <w:tblCellSpacing w:w="0"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1678"/>
        <w:gridCol w:w="2230"/>
        <w:gridCol w:w="2213"/>
        <w:gridCol w:w="2417"/>
      </w:tblGrid>
      <w:tr w:rsidR="00B623EA" w:rsidRPr="00464EFC" w14:paraId="4C70218E" w14:textId="77777777" w:rsidTr="00F12860">
        <w:trPr>
          <w:trHeight w:val="283"/>
          <w:tblCellSpacing w:w="0" w:type="dxa"/>
        </w:trPr>
        <w:tc>
          <w:tcPr>
            <w:tcW w:w="1678" w:type="dxa"/>
            <w:tcBorders>
              <w:bottom w:val="single" w:sz="2" w:space="0" w:color="auto"/>
            </w:tcBorders>
            <w:tcMar>
              <w:left w:w="108" w:type="dxa"/>
              <w:right w:w="108" w:type="dxa"/>
            </w:tcMar>
            <w:vAlign w:val="center"/>
          </w:tcPr>
          <w:p w14:paraId="4D529870" w14:textId="77777777" w:rsidR="00DF4A8C" w:rsidRPr="00464EFC" w:rsidRDefault="00FF77AA" w:rsidP="00464EFC">
            <w:pPr>
              <w:pStyle w:val="ac"/>
              <w:spacing w:beforeAutospacing="0" w:afterAutospacing="0"/>
              <w:jc w:val="center"/>
              <w:rPr>
                <w:sz w:val="21"/>
                <w:szCs w:val="21"/>
              </w:rPr>
            </w:pPr>
            <w:r w:rsidRPr="00464EFC">
              <w:rPr>
                <w:sz w:val="21"/>
                <w:szCs w:val="21"/>
              </w:rPr>
              <w:t>Bending</w:t>
            </w:r>
          </w:p>
          <w:p w14:paraId="6845325A" w14:textId="0DB0A911" w:rsidR="00B623EA" w:rsidRPr="00464EFC" w:rsidRDefault="00FF77AA" w:rsidP="00464EFC">
            <w:pPr>
              <w:pStyle w:val="ac"/>
              <w:spacing w:beforeAutospacing="0" w:afterAutospacing="0"/>
              <w:jc w:val="center"/>
              <w:rPr>
                <w:sz w:val="21"/>
                <w:szCs w:val="21"/>
              </w:rPr>
            </w:pPr>
            <w:r w:rsidRPr="00464EFC">
              <w:rPr>
                <w:sz w:val="21"/>
                <w:szCs w:val="21"/>
              </w:rPr>
              <w:t>displacement</w:t>
            </w:r>
          </w:p>
        </w:tc>
        <w:tc>
          <w:tcPr>
            <w:tcW w:w="2230" w:type="dxa"/>
            <w:tcBorders>
              <w:bottom w:val="single" w:sz="2" w:space="0" w:color="auto"/>
            </w:tcBorders>
            <w:tcMar>
              <w:left w:w="108" w:type="dxa"/>
              <w:right w:w="108" w:type="dxa"/>
            </w:tcMar>
            <w:vAlign w:val="center"/>
          </w:tcPr>
          <w:p w14:paraId="740AB2D0" w14:textId="77777777" w:rsidR="00DF4A8C" w:rsidRPr="00464EFC" w:rsidRDefault="00FF77AA" w:rsidP="00464EFC">
            <w:pPr>
              <w:pStyle w:val="ac"/>
              <w:spacing w:beforeAutospacing="0" w:afterAutospacing="0"/>
              <w:jc w:val="center"/>
              <w:rPr>
                <w:sz w:val="21"/>
                <w:szCs w:val="21"/>
              </w:rPr>
            </w:pPr>
            <w:r w:rsidRPr="00464EFC">
              <w:rPr>
                <w:sz w:val="21"/>
                <w:szCs w:val="21"/>
              </w:rPr>
              <w:t>Mechanical Energy</w:t>
            </w:r>
          </w:p>
          <w:p w14:paraId="23102744" w14:textId="74AEE16B" w:rsidR="00B623EA" w:rsidRPr="00464EFC" w:rsidRDefault="00FF77AA" w:rsidP="00464EFC">
            <w:pPr>
              <w:pStyle w:val="ac"/>
              <w:spacing w:beforeAutospacing="0" w:afterAutospacing="0"/>
              <w:jc w:val="center"/>
              <w:rPr>
                <w:sz w:val="21"/>
                <w:szCs w:val="21"/>
              </w:rPr>
            </w:pPr>
            <w:r w:rsidRPr="00464EFC">
              <w:rPr>
                <w:sz w:val="21"/>
                <w:szCs w:val="21"/>
              </w:rPr>
              <w:t>E</w:t>
            </w:r>
            <w:r w:rsidRPr="00464EFC">
              <w:rPr>
                <w:sz w:val="21"/>
                <w:szCs w:val="21"/>
                <w:vertAlign w:val="subscript"/>
              </w:rPr>
              <w:t>in</w:t>
            </w:r>
          </w:p>
        </w:tc>
        <w:tc>
          <w:tcPr>
            <w:tcW w:w="2213" w:type="dxa"/>
            <w:tcBorders>
              <w:bottom w:val="single" w:sz="2" w:space="0" w:color="auto"/>
            </w:tcBorders>
            <w:tcMar>
              <w:left w:w="108" w:type="dxa"/>
              <w:right w:w="108" w:type="dxa"/>
            </w:tcMar>
            <w:vAlign w:val="center"/>
          </w:tcPr>
          <w:p w14:paraId="59088AB5" w14:textId="77777777" w:rsidR="00DF4A8C" w:rsidRPr="00464EFC" w:rsidRDefault="00FF77AA" w:rsidP="00464EFC">
            <w:pPr>
              <w:pStyle w:val="ac"/>
              <w:spacing w:beforeAutospacing="0" w:afterAutospacing="0"/>
              <w:jc w:val="center"/>
              <w:rPr>
                <w:sz w:val="21"/>
                <w:szCs w:val="21"/>
              </w:rPr>
            </w:pPr>
            <w:r w:rsidRPr="00464EFC">
              <w:rPr>
                <w:sz w:val="21"/>
                <w:szCs w:val="21"/>
              </w:rPr>
              <w:t>Triboelectric Energy</w:t>
            </w:r>
          </w:p>
          <w:p w14:paraId="677C54F2" w14:textId="597AD9F6" w:rsidR="00B623EA" w:rsidRPr="00464EFC" w:rsidRDefault="00FF77AA" w:rsidP="00464EFC">
            <w:pPr>
              <w:pStyle w:val="ac"/>
              <w:spacing w:beforeAutospacing="0" w:afterAutospacing="0"/>
              <w:jc w:val="center"/>
              <w:rPr>
                <w:sz w:val="21"/>
                <w:szCs w:val="21"/>
              </w:rPr>
            </w:pPr>
            <w:r w:rsidRPr="00464EFC">
              <w:rPr>
                <w:sz w:val="21"/>
                <w:szCs w:val="21"/>
              </w:rPr>
              <w:t>E</w:t>
            </w:r>
            <w:r w:rsidRPr="00464EFC">
              <w:rPr>
                <w:sz w:val="21"/>
                <w:szCs w:val="21"/>
                <w:vertAlign w:val="subscript"/>
              </w:rPr>
              <w:t>out</w:t>
            </w:r>
          </w:p>
        </w:tc>
        <w:tc>
          <w:tcPr>
            <w:tcW w:w="2417" w:type="dxa"/>
            <w:tcBorders>
              <w:bottom w:val="single" w:sz="2" w:space="0" w:color="auto"/>
            </w:tcBorders>
            <w:tcMar>
              <w:left w:w="108" w:type="dxa"/>
              <w:right w:w="108" w:type="dxa"/>
            </w:tcMar>
            <w:vAlign w:val="center"/>
          </w:tcPr>
          <w:p w14:paraId="14187DAD" w14:textId="77777777" w:rsidR="00DF4A8C" w:rsidRPr="00464EFC" w:rsidRDefault="00FF77AA" w:rsidP="00464EFC">
            <w:pPr>
              <w:pStyle w:val="ac"/>
              <w:spacing w:beforeAutospacing="0" w:afterAutospacing="0"/>
              <w:jc w:val="center"/>
              <w:rPr>
                <w:sz w:val="21"/>
                <w:szCs w:val="21"/>
              </w:rPr>
            </w:pPr>
            <w:r w:rsidRPr="00464EFC">
              <w:rPr>
                <w:sz w:val="21"/>
                <w:szCs w:val="21"/>
              </w:rPr>
              <w:t>Conversion Efficiency</w:t>
            </w:r>
          </w:p>
          <w:p w14:paraId="02C7F78A" w14:textId="37BE2183" w:rsidR="00B623EA" w:rsidRPr="00464EFC" w:rsidRDefault="00FF77AA" w:rsidP="00464EFC">
            <w:pPr>
              <w:pStyle w:val="ac"/>
              <w:spacing w:beforeAutospacing="0" w:afterAutospacing="0"/>
              <w:jc w:val="center"/>
              <w:rPr>
                <w:sz w:val="21"/>
                <w:szCs w:val="21"/>
              </w:rPr>
            </w:pPr>
            <w:r w:rsidRPr="00464EFC">
              <w:rPr>
                <w:sz w:val="21"/>
                <w:szCs w:val="21"/>
              </w:rPr>
              <w:t>η</w:t>
            </w:r>
            <w:r w:rsidRPr="00464EFC">
              <w:rPr>
                <w:sz w:val="21"/>
                <w:szCs w:val="21"/>
                <w:vertAlign w:val="subscript"/>
              </w:rPr>
              <w:t>3</w:t>
            </w:r>
          </w:p>
        </w:tc>
      </w:tr>
      <w:tr w:rsidR="00B623EA" w:rsidRPr="00464EFC" w14:paraId="23154F60" w14:textId="77777777" w:rsidTr="00F12860">
        <w:trPr>
          <w:trHeight w:val="283"/>
          <w:tblCellSpacing w:w="0" w:type="dxa"/>
        </w:trPr>
        <w:tc>
          <w:tcPr>
            <w:tcW w:w="1678" w:type="dxa"/>
            <w:tcMar>
              <w:left w:w="108" w:type="dxa"/>
              <w:right w:w="108" w:type="dxa"/>
            </w:tcMar>
            <w:vAlign w:val="center"/>
          </w:tcPr>
          <w:p w14:paraId="04C415D1" w14:textId="77777777" w:rsidR="00B623EA" w:rsidRPr="00464EFC" w:rsidRDefault="00FF77AA" w:rsidP="00464EFC">
            <w:pPr>
              <w:pStyle w:val="ac"/>
              <w:spacing w:beforeAutospacing="0" w:afterAutospacing="0"/>
              <w:jc w:val="center"/>
              <w:rPr>
                <w:sz w:val="21"/>
                <w:szCs w:val="21"/>
              </w:rPr>
            </w:pPr>
            <w:r w:rsidRPr="00464EFC">
              <w:rPr>
                <w:sz w:val="21"/>
                <w:szCs w:val="21"/>
              </w:rPr>
              <w:t>4 mm</w:t>
            </w:r>
          </w:p>
        </w:tc>
        <w:tc>
          <w:tcPr>
            <w:tcW w:w="2230" w:type="dxa"/>
            <w:tcMar>
              <w:left w:w="108" w:type="dxa"/>
              <w:right w:w="108" w:type="dxa"/>
            </w:tcMar>
            <w:vAlign w:val="center"/>
          </w:tcPr>
          <w:p w14:paraId="71859324" w14:textId="77777777" w:rsidR="00B623EA" w:rsidRPr="00464EFC" w:rsidRDefault="00FF77AA" w:rsidP="00464EFC">
            <w:pPr>
              <w:pStyle w:val="ac"/>
              <w:spacing w:beforeAutospacing="0" w:afterAutospacing="0"/>
              <w:jc w:val="center"/>
              <w:rPr>
                <w:sz w:val="21"/>
                <w:szCs w:val="21"/>
              </w:rPr>
            </w:pPr>
            <w:r w:rsidRPr="00464EFC">
              <w:rPr>
                <w:sz w:val="21"/>
                <w:szCs w:val="21"/>
              </w:rPr>
              <w:t>0.000103 J</w:t>
            </w:r>
          </w:p>
        </w:tc>
        <w:tc>
          <w:tcPr>
            <w:tcW w:w="2213" w:type="dxa"/>
            <w:tcMar>
              <w:left w:w="108" w:type="dxa"/>
              <w:right w:w="108" w:type="dxa"/>
            </w:tcMar>
            <w:vAlign w:val="center"/>
          </w:tcPr>
          <w:p w14:paraId="2C6AD054" w14:textId="77777777" w:rsidR="00B623EA" w:rsidRPr="00464EFC" w:rsidRDefault="00FF77AA" w:rsidP="00464EFC">
            <w:pPr>
              <w:pStyle w:val="ac"/>
              <w:spacing w:beforeAutospacing="0" w:afterAutospacing="0"/>
              <w:jc w:val="center"/>
              <w:rPr>
                <w:sz w:val="21"/>
                <w:szCs w:val="21"/>
              </w:rPr>
            </w:pPr>
            <w:r w:rsidRPr="00464EFC">
              <w:rPr>
                <w:sz w:val="21"/>
                <w:szCs w:val="21"/>
              </w:rPr>
              <w:t>0.0000301 J</w:t>
            </w:r>
          </w:p>
        </w:tc>
        <w:tc>
          <w:tcPr>
            <w:tcW w:w="2417" w:type="dxa"/>
            <w:tcMar>
              <w:left w:w="108" w:type="dxa"/>
              <w:right w:w="108" w:type="dxa"/>
            </w:tcMar>
            <w:vAlign w:val="center"/>
          </w:tcPr>
          <w:p w14:paraId="18C6F0EC" w14:textId="77777777" w:rsidR="00B623EA" w:rsidRPr="00464EFC" w:rsidRDefault="00FF77AA" w:rsidP="00464EFC">
            <w:pPr>
              <w:pStyle w:val="ac"/>
              <w:spacing w:beforeAutospacing="0" w:afterAutospacing="0"/>
              <w:jc w:val="center"/>
              <w:rPr>
                <w:sz w:val="21"/>
                <w:szCs w:val="21"/>
              </w:rPr>
            </w:pPr>
            <w:r w:rsidRPr="00464EFC">
              <w:rPr>
                <w:sz w:val="21"/>
                <w:szCs w:val="21"/>
              </w:rPr>
              <w:t>29.15%</w:t>
            </w:r>
          </w:p>
        </w:tc>
      </w:tr>
      <w:tr w:rsidR="00B623EA" w:rsidRPr="00464EFC" w14:paraId="70206150" w14:textId="77777777" w:rsidTr="00F12860">
        <w:trPr>
          <w:trHeight w:val="283"/>
          <w:tblCellSpacing w:w="0" w:type="dxa"/>
        </w:trPr>
        <w:tc>
          <w:tcPr>
            <w:tcW w:w="1678" w:type="dxa"/>
            <w:tcMar>
              <w:left w:w="108" w:type="dxa"/>
              <w:right w:w="108" w:type="dxa"/>
            </w:tcMar>
            <w:vAlign w:val="center"/>
          </w:tcPr>
          <w:p w14:paraId="0392CDDA" w14:textId="77777777" w:rsidR="00B623EA" w:rsidRPr="00464EFC" w:rsidRDefault="00FF77AA" w:rsidP="00464EFC">
            <w:pPr>
              <w:pStyle w:val="ac"/>
              <w:spacing w:beforeAutospacing="0" w:afterAutospacing="0"/>
              <w:jc w:val="center"/>
              <w:rPr>
                <w:sz w:val="21"/>
                <w:szCs w:val="21"/>
              </w:rPr>
            </w:pPr>
            <w:r w:rsidRPr="00464EFC">
              <w:rPr>
                <w:sz w:val="21"/>
                <w:szCs w:val="21"/>
              </w:rPr>
              <w:t>8 mm</w:t>
            </w:r>
          </w:p>
        </w:tc>
        <w:tc>
          <w:tcPr>
            <w:tcW w:w="2230" w:type="dxa"/>
            <w:tcMar>
              <w:left w:w="108" w:type="dxa"/>
              <w:right w:w="108" w:type="dxa"/>
            </w:tcMar>
            <w:vAlign w:val="center"/>
          </w:tcPr>
          <w:p w14:paraId="31EFCB9C" w14:textId="77777777" w:rsidR="00B623EA" w:rsidRPr="00464EFC" w:rsidRDefault="00FF77AA" w:rsidP="00464EFC">
            <w:pPr>
              <w:pStyle w:val="ac"/>
              <w:spacing w:beforeAutospacing="0" w:afterAutospacing="0"/>
              <w:jc w:val="center"/>
              <w:rPr>
                <w:sz w:val="21"/>
                <w:szCs w:val="21"/>
              </w:rPr>
            </w:pPr>
            <w:r w:rsidRPr="00464EFC">
              <w:rPr>
                <w:sz w:val="21"/>
                <w:szCs w:val="21"/>
              </w:rPr>
              <w:t>0.00155 J</w:t>
            </w:r>
          </w:p>
        </w:tc>
        <w:tc>
          <w:tcPr>
            <w:tcW w:w="2213" w:type="dxa"/>
            <w:tcMar>
              <w:left w:w="108" w:type="dxa"/>
              <w:right w:w="108" w:type="dxa"/>
            </w:tcMar>
            <w:vAlign w:val="center"/>
          </w:tcPr>
          <w:p w14:paraId="5762E7FA" w14:textId="77777777" w:rsidR="00B623EA" w:rsidRPr="00464EFC" w:rsidRDefault="00FF77AA" w:rsidP="00464EFC">
            <w:pPr>
              <w:pStyle w:val="ac"/>
              <w:spacing w:beforeAutospacing="0" w:afterAutospacing="0"/>
              <w:jc w:val="center"/>
              <w:rPr>
                <w:sz w:val="21"/>
                <w:szCs w:val="21"/>
              </w:rPr>
            </w:pPr>
            <w:r w:rsidRPr="00464EFC">
              <w:rPr>
                <w:sz w:val="21"/>
                <w:szCs w:val="21"/>
              </w:rPr>
              <w:t>0.0001128 J</w:t>
            </w:r>
          </w:p>
        </w:tc>
        <w:tc>
          <w:tcPr>
            <w:tcW w:w="2417" w:type="dxa"/>
            <w:tcMar>
              <w:left w:w="108" w:type="dxa"/>
              <w:right w:w="108" w:type="dxa"/>
            </w:tcMar>
            <w:vAlign w:val="center"/>
          </w:tcPr>
          <w:p w14:paraId="086A4687" w14:textId="77777777" w:rsidR="00B623EA" w:rsidRPr="00464EFC" w:rsidRDefault="00FF77AA" w:rsidP="00464EFC">
            <w:pPr>
              <w:pStyle w:val="ac"/>
              <w:spacing w:beforeAutospacing="0" w:afterAutospacing="0"/>
              <w:jc w:val="center"/>
              <w:rPr>
                <w:sz w:val="21"/>
                <w:szCs w:val="21"/>
              </w:rPr>
            </w:pPr>
            <w:r w:rsidRPr="00464EFC">
              <w:rPr>
                <w:sz w:val="21"/>
                <w:szCs w:val="21"/>
              </w:rPr>
              <w:t>7.28%</w:t>
            </w:r>
          </w:p>
        </w:tc>
      </w:tr>
      <w:tr w:rsidR="00B623EA" w:rsidRPr="00464EFC" w14:paraId="36D8624B" w14:textId="77777777" w:rsidTr="00F12860">
        <w:trPr>
          <w:trHeight w:val="283"/>
          <w:tblCellSpacing w:w="0" w:type="dxa"/>
        </w:trPr>
        <w:tc>
          <w:tcPr>
            <w:tcW w:w="1678" w:type="dxa"/>
            <w:tcMar>
              <w:left w:w="108" w:type="dxa"/>
              <w:right w:w="108" w:type="dxa"/>
            </w:tcMar>
            <w:vAlign w:val="center"/>
          </w:tcPr>
          <w:p w14:paraId="254223B7" w14:textId="77777777" w:rsidR="00B623EA" w:rsidRPr="00464EFC" w:rsidRDefault="00FF77AA" w:rsidP="00464EFC">
            <w:pPr>
              <w:pStyle w:val="ac"/>
              <w:spacing w:beforeAutospacing="0" w:afterAutospacing="0"/>
              <w:jc w:val="center"/>
              <w:rPr>
                <w:sz w:val="21"/>
                <w:szCs w:val="21"/>
              </w:rPr>
            </w:pPr>
            <w:r w:rsidRPr="00464EFC">
              <w:rPr>
                <w:sz w:val="21"/>
                <w:szCs w:val="21"/>
              </w:rPr>
              <w:t>12 mm</w:t>
            </w:r>
          </w:p>
        </w:tc>
        <w:tc>
          <w:tcPr>
            <w:tcW w:w="2230" w:type="dxa"/>
            <w:tcMar>
              <w:left w:w="108" w:type="dxa"/>
              <w:right w:w="108" w:type="dxa"/>
            </w:tcMar>
            <w:vAlign w:val="center"/>
          </w:tcPr>
          <w:p w14:paraId="7560DB73" w14:textId="77777777" w:rsidR="00B623EA" w:rsidRPr="00464EFC" w:rsidRDefault="00FF77AA" w:rsidP="00464EFC">
            <w:pPr>
              <w:pStyle w:val="ac"/>
              <w:spacing w:beforeAutospacing="0" w:afterAutospacing="0"/>
              <w:jc w:val="center"/>
              <w:rPr>
                <w:sz w:val="21"/>
                <w:szCs w:val="21"/>
              </w:rPr>
            </w:pPr>
            <w:r w:rsidRPr="00464EFC">
              <w:rPr>
                <w:sz w:val="21"/>
                <w:szCs w:val="21"/>
              </w:rPr>
              <w:t>0.00734 J</w:t>
            </w:r>
          </w:p>
        </w:tc>
        <w:tc>
          <w:tcPr>
            <w:tcW w:w="2213" w:type="dxa"/>
            <w:tcMar>
              <w:left w:w="108" w:type="dxa"/>
              <w:right w:w="108" w:type="dxa"/>
            </w:tcMar>
            <w:vAlign w:val="center"/>
          </w:tcPr>
          <w:p w14:paraId="1FCFBEEB" w14:textId="77777777" w:rsidR="00B623EA" w:rsidRPr="00464EFC" w:rsidRDefault="00FF77AA" w:rsidP="00464EFC">
            <w:pPr>
              <w:pStyle w:val="ac"/>
              <w:spacing w:beforeAutospacing="0" w:afterAutospacing="0"/>
              <w:jc w:val="center"/>
              <w:rPr>
                <w:sz w:val="21"/>
                <w:szCs w:val="21"/>
              </w:rPr>
            </w:pPr>
            <w:r w:rsidRPr="00464EFC">
              <w:rPr>
                <w:sz w:val="21"/>
                <w:szCs w:val="21"/>
              </w:rPr>
              <w:t>0.000352 J</w:t>
            </w:r>
          </w:p>
        </w:tc>
        <w:tc>
          <w:tcPr>
            <w:tcW w:w="2417" w:type="dxa"/>
            <w:tcMar>
              <w:left w:w="108" w:type="dxa"/>
              <w:right w:w="108" w:type="dxa"/>
            </w:tcMar>
            <w:vAlign w:val="center"/>
          </w:tcPr>
          <w:p w14:paraId="7FDC05D3" w14:textId="77777777" w:rsidR="00B623EA" w:rsidRPr="00464EFC" w:rsidRDefault="00FF77AA" w:rsidP="00464EFC">
            <w:pPr>
              <w:pStyle w:val="ac"/>
              <w:spacing w:beforeAutospacing="0" w:afterAutospacing="0"/>
              <w:jc w:val="center"/>
              <w:rPr>
                <w:sz w:val="21"/>
                <w:szCs w:val="21"/>
              </w:rPr>
            </w:pPr>
            <w:r w:rsidRPr="00464EFC">
              <w:rPr>
                <w:sz w:val="21"/>
                <w:szCs w:val="21"/>
              </w:rPr>
              <w:t>4.8%</w:t>
            </w:r>
          </w:p>
        </w:tc>
      </w:tr>
      <w:tr w:rsidR="00B623EA" w:rsidRPr="00464EFC" w14:paraId="14B1975F" w14:textId="77777777" w:rsidTr="00F12860">
        <w:trPr>
          <w:trHeight w:val="283"/>
          <w:tblCellSpacing w:w="0" w:type="dxa"/>
        </w:trPr>
        <w:tc>
          <w:tcPr>
            <w:tcW w:w="1678" w:type="dxa"/>
            <w:tcMar>
              <w:left w:w="108" w:type="dxa"/>
              <w:right w:w="108" w:type="dxa"/>
            </w:tcMar>
            <w:vAlign w:val="center"/>
          </w:tcPr>
          <w:p w14:paraId="263FADCA" w14:textId="77777777" w:rsidR="00B623EA" w:rsidRPr="00464EFC" w:rsidRDefault="00FF77AA" w:rsidP="00464EFC">
            <w:pPr>
              <w:pStyle w:val="ac"/>
              <w:spacing w:beforeAutospacing="0" w:afterAutospacing="0"/>
              <w:jc w:val="center"/>
              <w:rPr>
                <w:sz w:val="21"/>
                <w:szCs w:val="21"/>
              </w:rPr>
            </w:pPr>
            <w:r w:rsidRPr="00464EFC">
              <w:rPr>
                <w:sz w:val="21"/>
                <w:szCs w:val="21"/>
              </w:rPr>
              <w:t>16 mm</w:t>
            </w:r>
          </w:p>
        </w:tc>
        <w:tc>
          <w:tcPr>
            <w:tcW w:w="2230" w:type="dxa"/>
            <w:tcMar>
              <w:left w:w="108" w:type="dxa"/>
              <w:right w:w="108" w:type="dxa"/>
            </w:tcMar>
            <w:vAlign w:val="center"/>
          </w:tcPr>
          <w:p w14:paraId="73FAF05A" w14:textId="77777777" w:rsidR="00B623EA" w:rsidRPr="00464EFC" w:rsidRDefault="00FF77AA" w:rsidP="00464EFC">
            <w:pPr>
              <w:pStyle w:val="ac"/>
              <w:spacing w:beforeAutospacing="0" w:afterAutospacing="0"/>
              <w:jc w:val="center"/>
              <w:rPr>
                <w:sz w:val="21"/>
                <w:szCs w:val="21"/>
              </w:rPr>
            </w:pPr>
            <w:r w:rsidRPr="00464EFC">
              <w:rPr>
                <w:sz w:val="21"/>
                <w:szCs w:val="21"/>
              </w:rPr>
              <w:t>0.0195 J</w:t>
            </w:r>
          </w:p>
        </w:tc>
        <w:tc>
          <w:tcPr>
            <w:tcW w:w="2213" w:type="dxa"/>
            <w:tcMar>
              <w:left w:w="108" w:type="dxa"/>
              <w:right w:w="108" w:type="dxa"/>
            </w:tcMar>
            <w:vAlign w:val="center"/>
          </w:tcPr>
          <w:p w14:paraId="7CE3A1F4" w14:textId="77777777" w:rsidR="00B623EA" w:rsidRPr="00464EFC" w:rsidRDefault="00FF77AA" w:rsidP="00464EFC">
            <w:pPr>
              <w:pStyle w:val="ac"/>
              <w:spacing w:beforeAutospacing="0" w:afterAutospacing="0"/>
              <w:jc w:val="center"/>
              <w:rPr>
                <w:sz w:val="21"/>
                <w:szCs w:val="21"/>
              </w:rPr>
            </w:pPr>
            <w:r w:rsidRPr="00464EFC">
              <w:rPr>
                <w:sz w:val="21"/>
                <w:szCs w:val="21"/>
              </w:rPr>
              <w:t>0.0007469 J</w:t>
            </w:r>
          </w:p>
        </w:tc>
        <w:tc>
          <w:tcPr>
            <w:tcW w:w="2417" w:type="dxa"/>
            <w:tcMar>
              <w:left w:w="108" w:type="dxa"/>
              <w:right w:w="108" w:type="dxa"/>
            </w:tcMar>
            <w:vAlign w:val="center"/>
          </w:tcPr>
          <w:p w14:paraId="43C9182F" w14:textId="77777777" w:rsidR="00B623EA" w:rsidRPr="00464EFC" w:rsidRDefault="00FF77AA" w:rsidP="00464EFC">
            <w:pPr>
              <w:pStyle w:val="ac"/>
              <w:spacing w:beforeAutospacing="0" w:afterAutospacing="0"/>
              <w:jc w:val="center"/>
              <w:rPr>
                <w:sz w:val="21"/>
                <w:szCs w:val="21"/>
              </w:rPr>
            </w:pPr>
            <w:r w:rsidRPr="00464EFC">
              <w:rPr>
                <w:sz w:val="21"/>
                <w:szCs w:val="21"/>
              </w:rPr>
              <w:t>3.83%</w:t>
            </w:r>
          </w:p>
        </w:tc>
      </w:tr>
      <w:tr w:rsidR="00B623EA" w:rsidRPr="00464EFC" w14:paraId="06CC0453" w14:textId="77777777" w:rsidTr="00F12860">
        <w:trPr>
          <w:trHeight w:val="283"/>
          <w:tblCellSpacing w:w="0" w:type="dxa"/>
        </w:trPr>
        <w:tc>
          <w:tcPr>
            <w:tcW w:w="1678" w:type="dxa"/>
            <w:tcMar>
              <w:left w:w="108" w:type="dxa"/>
              <w:right w:w="108" w:type="dxa"/>
            </w:tcMar>
            <w:vAlign w:val="center"/>
          </w:tcPr>
          <w:p w14:paraId="7C08D83F" w14:textId="77777777" w:rsidR="00B623EA" w:rsidRPr="00464EFC" w:rsidRDefault="00FF77AA" w:rsidP="00464EFC">
            <w:pPr>
              <w:pStyle w:val="ac"/>
              <w:spacing w:beforeAutospacing="0" w:afterAutospacing="0"/>
              <w:jc w:val="center"/>
              <w:rPr>
                <w:sz w:val="21"/>
                <w:szCs w:val="21"/>
              </w:rPr>
            </w:pPr>
            <w:r w:rsidRPr="00464EFC">
              <w:rPr>
                <w:sz w:val="21"/>
                <w:szCs w:val="21"/>
              </w:rPr>
              <w:t>20 mm</w:t>
            </w:r>
          </w:p>
        </w:tc>
        <w:tc>
          <w:tcPr>
            <w:tcW w:w="2230" w:type="dxa"/>
            <w:tcMar>
              <w:left w:w="108" w:type="dxa"/>
              <w:right w:w="108" w:type="dxa"/>
            </w:tcMar>
            <w:vAlign w:val="center"/>
          </w:tcPr>
          <w:p w14:paraId="7A5CE6B0" w14:textId="77777777" w:rsidR="00B623EA" w:rsidRPr="00464EFC" w:rsidRDefault="00FF77AA" w:rsidP="00464EFC">
            <w:pPr>
              <w:pStyle w:val="ac"/>
              <w:spacing w:beforeAutospacing="0" w:afterAutospacing="0"/>
              <w:jc w:val="center"/>
              <w:rPr>
                <w:sz w:val="21"/>
                <w:szCs w:val="21"/>
              </w:rPr>
            </w:pPr>
            <w:r w:rsidRPr="00464EFC">
              <w:rPr>
                <w:sz w:val="21"/>
                <w:szCs w:val="21"/>
              </w:rPr>
              <w:t>0.04423 J</w:t>
            </w:r>
          </w:p>
        </w:tc>
        <w:tc>
          <w:tcPr>
            <w:tcW w:w="2213" w:type="dxa"/>
            <w:tcMar>
              <w:left w:w="108" w:type="dxa"/>
              <w:right w:w="108" w:type="dxa"/>
            </w:tcMar>
            <w:vAlign w:val="center"/>
          </w:tcPr>
          <w:p w14:paraId="590AED3D" w14:textId="77777777" w:rsidR="00B623EA" w:rsidRPr="00464EFC" w:rsidRDefault="00FF77AA" w:rsidP="00464EFC">
            <w:pPr>
              <w:pStyle w:val="ac"/>
              <w:spacing w:beforeAutospacing="0" w:afterAutospacing="0"/>
              <w:jc w:val="center"/>
              <w:rPr>
                <w:sz w:val="21"/>
                <w:szCs w:val="21"/>
              </w:rPr>
            </w:pPr>
            <w:r w:rsidRPr="00464EFC">
              <w:rPr>
                <w:sz w:val="21"/>
                <w:szCs w:val="21"/>
              </w:rPr>
              <w:t>0.001048 J</w:t>
            </w:r>
          </w:p>
        </w:tc>
        <w:tc>
          <w:tcPr>
            <w:tcW w:w="2417" w:type="dxa"/>
            <w:tcMar>
              <w:left w:w="108" w:type="dxa"/>
              <w:right w:w="108" w:type="dxa"/>
            </w:tcMar>
            <w:vAlign w:val="center"/>
          </w:tcPr>
          <w:p w14:paraId="133C2E61" w14:textId="77777777" w:rsidR="00B623EA" w:rsidRPr="00464EFC" w:rsidRDefault="00FF77AA" w:rsidP="00464EFC">
            <w:pPr>
              <w:pStyle w:val="ac"/>
              <w:spacing w:beforeAutospacing="0" w:afterAutospacing="0"/>
              <w:jc w:val="center"/>
              <w:rPr>
                <w:sz w:val="21"/>
                <w:szCs w:val="21"/>
              </w:rPr>
            </w:pPr>
            <w:r w:rsidRPr="00464EFC">
              <w:rPr>
                <w:sz w:val="21"/>
                <w:szCs w:val="21"/>
              </w:rPr>
              <w:t>2.37%</w:t>
            </w:r>
          </w:p>
        </w:tc>
      </w:tr>
    </w:tbl>
    <w:p w14:paraId="18AEE24F" w14:textId="342706FC" w:rsidR="001002CE" w:rsidRPr="00460FC2" w:rsidRDefault="001002CE" w:rsidP="00F12860">
      <w:pPr>
        <w:spacing w:beforeLines="100" w:before="312" w:afterLines="50" w:after="156"/>
      </w:pPr>
      <w:r w:rsidRPr="00460FC2">
        <w:rPr>
          <w:b/>
          <w:bCs/>
        </w:rPr>
        <w:t>Table S4</w:t>
      </w:r>
      <w:r w:rsidRPr="00460FC2">
        <w:t xml:space="preserve"> Detailed configuration and hyperparameters of the proposed CNN architecture</w:t>
      </w:r>
    </w:p>
    <w:tbl>
      <w:tblPr>
        <w:tblStyle w:val="20"/>
        <w:tblW w:w="0" w:type="auto"/>
        <w:tblLook w:val="04A0" w:firstRow="1" w:lastRow="0" w:firstColumn="1" w:lastColumn="0" w:noHBand="0" w:noVBand="1"/>
      </w:tblPr>
      <w:tblGrid>
        <w:gridCol w:w="2292"/>
        <w:gridCol w:w="2616"/>
        <w:gridCol w:w="1654"/>
        <w:gridCol w:w="1744"/>
      </w:tblGrid>
      <w:tr w:rsidR="001002CE" w:rsidRPr="00464EFC" w14:paraId="70CFA9C7" w14:textId="77777777" w:rsidTr="00F12860">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21D94962" w14:textId="77777777" w:rsidR="001002CE" w:rsidRPr="00464EFC" w:rsidRDefault="001002CE" w:rsidP="00464EFC">
            <w:pPr>
              <w:jc w:val="center"/>
              <w:rPr>
                <w:b w:val="0"/>
                <w:bCs w:val="0"/>
                <w:sz w:val="21"/>
                <w:szCs w:val="21"/>
              </w:rPr>
            </w:pPr>
            <w:bookmarkStart w:id="12" w:name="_Hlk219471366"/>
            <w:r w:rsidRPr="00464EFC">
              <w:rPr>
                <w:b w:val="0"/>
                <w:bCs w:val="0"/>
                <w:sz w:val="21"/>
                <w:szCs w:val="21"/>
              </w:rPr>
              <w:t>Layer Type</w:t>
            </w:r>
          </w:p>
        </w:tc>
        <w:tc>
          <w:tcPr>
            <w:tcW w:w="0" w:type="auto"/>
            <w:hideMark/>
          </w:tcPr>
          <w:p w14:paraId="27E0F604" w14:textId="77777777" w:rsidR="001002CE" w:rsidRPr="00464EFC" w:rsidRDefault="001002CE" w:rsidP="00464EFC">
            <w:pPr>
              <w:jc w:val="center"/>
              <w:cnfStyle w:val="100000000000" w:firstRow="1" w:lastRow="0" w:firstColumn="0" w:lastColumn="0" w:oddVBand="0" w:evenVBand="0" w:oddHBand="0" w:evenHBand="0" w:firstRowFirstColumn="0" w:firstRowLastColumn="0" w:lastRowFirstColumn="0" w:lastRowLastColumn="0"/>
              <w:rPr>
                <w:b w:val="0"/>
                <w:bCs w:val="0"/>
                <w:sz w:val="21"/>
                <w:szCs w:val="21"/>
              </w:rPr>
            </w:pPr>
            <w:r w:rsidRPr="00464EFC">
              <w:rPr>
                <w:b w:val="0"/>
                <w:bCs w:val="0"/>
                <w:sz w:val="21"/>
                <w:szCs w:val="21"/>
              </w:rPr>
              <w:t>Output Shape (Channels/Units)</w:t>
            </w:r>
          </w:p>
        </w:tc>
        <w:tc>
          <w:tcPr>
            <w:tcW w:w="0" w:type="auto"/>
            <w:hideMark/>
          </w:tcPr>
          <w:p w14:paraId="7C4AC0E1" w14:textId="77777777" w:rsidR="001002CE" w:rsidRPr="00464EFC" w:rsidRDefault="001002CE" w:rsidP="00464EFC">
            <w:pPr>
              <w:jc w:val="center"/>
              <w:cnfStyle w:val="100000000000" w:firstRow="1" w:lastRow="0" w:firstColumn="0" w:lastColumn="0" w:oddVBand="0" w:evenVBand="0" w:oddHBand="0" w:evenHBand="0" w:firstRowFirstColumn="0" w:firstRowLastColumn="0" w:lastRowFirstColumn="0" w:lastRowLastColumn="0"/>
              <w:rPr>
                <w:b w:val="0"/>
                <w:bCs w:val="0"/>
                <w:sz w:val="21"/>
                <w:szCs w:val="21"/>
              </w:rPr>
            </w:pPr>
            <w:r w:rsidRPr="00464EFC">
              <w:rPr>
                <w:b w:val="0"/>
                <w:bCs w:val="0"/>
                <w:sz w:val="21"/>
                <w:szCs w:val="21"/>
              </w:rPr>
              <w:t>Kernel Size / Stride</w:t>
            </w:r>
          </w:p>
        </w:tc>
        <w:tc>
          <w:tcPr>
            <w:tcW w:w="0" w:type="auto"/>
            <w:hideMark/>
          </w:tcPr>
          <w:p w14:paraId="5AD6783D" w14:textId="77777777" w:rsidR="001002CE" w:rsidRPr="00464EFC" w:rsidRDefault="001002CE" w:rsidP="00464EFC">
            <w:pPr>
              <w:jc w:val="center"/>
              <w:cnfStyle w:val="100000000000" w:firstRow="1" w:lastRow="0" w:firstColumn="0" w:lastColumn="0" w:oddVBand="0" w:evenVBand="0" w:oddHBand="0" w:evenHBand="0" w:firstRowFirstColumn="0" w:firstRowLastColumn="0" w:lastRowFirstColumn="0" w:lastRowLastColumn="0"/>
              <w:rPr>
                <w:b w:val="0"/>
                <w:bCs w:val="0"/>
                <w:sz w:val="21"/>
                <w:szCs w:val="21"/>
              </w:rPr>
            </w:pPr>
            <w:r w:rsidRPr="00464EFC">
              <w:rPr>
                <w:b w:val="0"/>
                <w:bCs w:val="0"/>
                <w:sz w:val="21"/>
                <w:szCs w:val="21"/>
              </w:rPr>
              <w:t>Activation Function</w:t>
            </w:r>
          </w:p>
        </w:tc>
      </w:tr>
      <w:tr w:rsidR="001002CE" w:rsidRPr="00464EFC" w14:paraId="63BF72B5" w14:textId="77777777" w:rsidTr="00F12860">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0" w:type="auto"/>
            <w:tcBorders>
              <w:bottom w:val="none" w:sz="0" w:space="0" w:color="auto"/>
            </w:tcBorders>
            <w:hideMark/>
          </w:tcPr>
          <w:p w14:paraId="69B12D87" w14:textId="77777777" w:rsidR="001002CE" w:rsidRPr="00464EFC" w:rsidRDefault="001002CE" w:rsidP="00464EFC">
            <w:pPr>
              <w:jc w:val="center"/>
              <w:rPr>
                <w:b w:val="0"/>
                <w:bCs w:val="0"/>
                <w:sz w:val="21"/>
                <w:szCs w:val="21"/>
              </w:rPr>
            </w:pPr>
            <w:r w:rsidRPr="00464EFC">
              <w:rPr>
                <w:b w:val="0"/>
                <w:bCs w:val="0"/>
                <w:sz w:val="21"/>
                <w:szCs w:val="21"/>
              </w:rPr>
              <w:t>Input</w:t>
            </w:r>
          </w:p>
        </w:tc>
        <w:tc>
          <w:tcPr>
            <w:tcW w:w="0" w:type="auto"/>
            <w:tcBorders>
              <w:bottom w:val="none" w:sz="0" w:space="0" w:color="auto"/>
            </w:tcBorders>
            <w:hideMark/>
          </w:tcPr>
          <w:p w14:paraId="4D2C8629" w14:textId="3E6A09AE" w:rsidR="001002CE" w:rsidRPr="00464EFC" w:rsidRDefault="001002CE" w:rsidP="00464EFC">
            <w:pPr>
              <w:jc w:val="center"/>
              <w:cnfStyle w:val="000000100000" w:firstRow="0" w:lastRow="0" w:firstColumn="0" w:lastColumn="0" w:oddVBand="0" w:evenVBand="0" w:oddHBand="1" w:evenHBand="0" w:firstRowFirstColumn="0" w:firstRowLastColumn="0" w:lastRowFirstColumn="0" w:lastRowLastColumn="0"/>
              <w:rPr>
                <w:sz w:val="21"/>
                <w:szCs w:val="21"/>
              </w:rPr>
            </w:pPr>
            <w:r w:rsidRPr="00464EFC">
              <w:rPr>
                <w:sz w:val="21"/>
                <w:szCs w:val="21"/>
              </w:rPr>
              <w:t>1×L (Time-series)</w:t>
            </w:r>
          </w:p>
        </w:tc>
        <w:tc>
          <w:tcPr>
            <w:tcW w:w="0" w:type="auto"/>
            <w:tcBorders>
              <w:bottom w:val="none" w:sz="0" w:space="0" w:color="auto"/>
            </w:tcBorders>
            <w:hideMark/>
          </w:tcPr>
          <w:p w14:paraId="40239EDF" w14:textId="77777777" w:rsidR="001002CE" w:rsidRPr="00464EFC" w:rsidRDefault="001002CE" w:rsidP="00464EFC">
            <w:pPr>
              <w:jc w:val="center"/>
              <w:cnfStyle w:val="000000100000" w:firstRow="0" w:lastRow="0" w:firstColumn="0" w:lastColumn="0" w:oddVBand="0" w:evenVBand="0" w:oddHBand="1" w:evenHBand="0" w:firstRowFirstColumn="0" w:firstRowLastColumn="0" w:lastRowFirstColumn="0" w:lastRowLastColumn="0"/>
              <w:rPr>
                <w:sz w:val="21"/>
                <w:szCs w:val="21"/>
              </w:rPr>
            </w:pPr>
            <w:r w:rsidRPr="00464EFC">
              <w:rPr>
                <w:sz w:val="21"/>
                <w:szCs w:val="21"/>
              </w:rPr>
              <w:t>-</w:t>
            </w:r>
          </w:p>
        </w:tc>
        <w:tc>
          <w:tcPr>
            <w:tcW w:w="0" w:type="auto"/>
            <w:tcBorders>
              <w:bottom w:val="none" w:sz="0" w:space="0" w:color="auto"/>
            </w:tcBorders>
            <w:hideMark/>
          </w:tcPr>
          <w:p w14:paraId="3192B1E5" w14:textId="77777777" w:rsidR="001002CE" w:rsidRPr="00464EFC" w:rsidRDefault="001002CE" w:rsidP="00464EFC">
            <w:pPr>
              <w:jc w:val="center"/>
              <w:cnfStyle w:val="000000100000" w:firstRow="0" w:lastRow="0" w:firstColumn="0" w:lastColumn="0" w:oddVBand="0" w:evenVBand="0" w:oddHBand="1" w:evenHBand="0" w:firstRowFirstColumn="0" w:firstRowLastColumn="0" w:lastRowFirstColumn="0" w:lastRowLastColumn="0"/>
              <w:rPr>
                <w:sz w:val="21"/>
                <w:szCs w:val="21"/>
              </w:rPr>
            </w:pPr>
            <w:r w:rsidRPr="00464EFC">
              <w:rPr>
                <w:sz w:val="21"/>
                <w:szCs w:val="21"/>
              </w:rPr>
              <w:t>-</w:t>
            </w:r>
          </w:p>
        </w:tc>
      </w:tr>
      <w:tr w:rsidR="001002CE" w:rsidRPr="00464EFC" w14:paraId="5AD7660D" w14:textId="77777777" w:rsidTr="00F12860">
        <w:trPr>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42A085C3" w14:textId="77777777" w:rsidR="001002CE" w:rsidRPr="00464EFC" w:rsidRDefault="001002CE" w:rsidP="00464EFC">
            <w:pPr>
              <w:jc w:val="center"/>
              <w:rPr>
                <w:b w:val="0"/>
                <w:bCs w:val="0"/>
                <w:sz w:val="21"/>
                <w:szCs w:val="21"/>
              </w:rPr>
            </w:pPr>
            <w:r w:rsidRPr="00464EFC">
              <w:rPr>
                <w:b w:val="0"/>
                <w:bCs w:val="0"/>
                <w:sz w:val="21"/>
                <w:szCs w:val="21"/>
              </w:rPr>
              <w:t>Convolution 1 (C1)</w:t>
            </w:r>
          </w:p>
        </w:tc>
        <w:tc>
          <w:tcPr>
            <w:tcW w:w="0" w:type="auto"/>
            <w:hideMark/>
          </w:tcPr>
          <w:p w14:paraId="233854EC" w14:textId="77777777" w:rsidR="001002CE" w:rsidRPr="00464EFC" w:rsidRDefault="001002CE" w:rsidP="00464EFC">
            <w:pPr>
              <w:jc w:val="center"/>
              <w:cnfStyle w:val="000000000000" w:firstRow="0" w:lastRow="0" w:firstColumn="0" w:lastColumn="0" w:oddVBand="0" w:evenVBand="0" w:oddHBand="0" w:evenHBand="0" w:firstRowFirstColumn="0" w:firstRowLastColumn="0" w:lastRowFirstColumn="0" w:lastRowLastColumn="0"/>
              <w:rPr>
                <w:sz w:val="21"/>
                <w:szCs w:val="21"/>
              </w:rPr>
            </w:pPr>
            <w:r w:rsidRPr="00464EFC">
              <w:rPr>
                <w:sz w:val="21"/>
                <w:szCs w:val="21"/>
              </w:rPr>
              <w:t>6</w:t>
            </w:r>
          </w:p>
        </w:tc>
        <w:tc>
          <w:tcPr>
            <w:tcW w:w="0" w:type="auto"/>
            <w:hideMark/>
          </w:tcPr>
          <w:p w14:paraId="431E955C" w14:textId="4780818A" w:rsidR="001002CE" w:rsidRPr="00464EFC" w:rsidRDefault="001002CE" w:rsidP="00464EFC">
            <w:pPr>
              <w:jc w:val="center"/>
              <w:cnfStyle w:val="000000000000" w:firstRow="0" w:lastRow="0" w:firstColumn="0" w:lastColumn="0" w:oddVBand="0" w:evenVBand="0" w:oddHBand="0" w:evenHBand="0" w:firstRowFirstColumn="0" w:firstRowLastColumn="0" w:lastRowFirstColumn="0" w:lastRowLastColumn="0"/>
              <w:rPr>
                <w:sz w:val="21"/>
                <w:szCs w:val="21"/>
              </w:rPr>
            </w:pPr>
            <w:r w:rsidRPr="00464EFC">
              <w:rPr>
                <w:sz w:val="21"/>
                <w:szCs w:val="21"/>
              </w:rPr>
              <w:t>5/1</w:t>
            </w:r>
          </w:p>
        </w:tc>
        <w:tc>
          <w:tcPr>
            <w:tcW w:w="0" w:type="auto"/>
            <w:hideMark/>
          </w:tcPr>
          <w:p w14:paraId="0754CA09" w14:textId="77777777" w:rsidR="001002CE" w:rsidRPr="00464EFC" w:rsidRDefault="001002CE" w:rsidP="00464EFC">
            <w:pPr>
              <w:jc w:val="center"/>
              <w:cnfStyle w:val="000000000000" w:firstRow="0" w:lastRow="0" w:firstColumn="0" w:lastColumn="0" w:oddVBand="0" w:evenVBand="0" w:oddHBand="0" w:evenHBand="0" w:firstRowFirstColumn="0" w:firstRowLastColumn="0" w:lastRowFirstColumn="0" w:lastRowLastColumn="0"/>
              <w:rPr>
                <w:sz w:val="21"/>
                <w:szCs w:val="21"/>
              </w:rPr>
            </w:pPr>
            <w:r w:rsidRPr="00464EFC">
              <w:rPr>
                <w:sz w:val="21"/>
                <w:szCs w:val="21"/>
              </w:rPr>
              <w:t>ReLU</w:t>
            </w:r>
          </w:p>
        </w:tc>
      </w:tr>
      <w:tr w:rsidR="001002CE" w:rsidRPr="00464EFC" w14:paraId="229D6EAF" w14:textId="77777777" w:rsidTr="00F12860">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tcBorders>
            <w:hideMark/>
          </w:tcPr>
          <w:p w14:paraId="1472F610" w14:textId="77777777" w:rsidR="001002CE" w:rsidRPr="00464EFC" w:rsidRDefault="001002CE" w:rsidP="00464EFC">
            <w:pPr>
              <w:jc w:val="center"/>
              <w:rPr>
                <w:b w:val="0"/>
                <w:bCs w:val="0"/>
                <w:sz w:val="21"/>
                <w:szCs w:val="21"/>
              </w:rPr>
            </w:pPr>
            <w:r w:rsidRPr="00464EFC">
              <w:rPr>
                <w:b w:val="0"/>
                <w:bCs w:val="0"/>
                <w:sz w:val="21"/>
                <w:szCs w:val="21"/>
              </w:rPr>
              <w:t>Convolution 2 (C2)</w:t>
            </w:r>
          </w:p>
        </w:tc>
        <w:tc>
          <w:tcPr>
            <w:tcW w:w="0" w:type="auto"/>
            <w:tcBorders>
              <w:top w:val="none" w:sz="0" w:space="0" w:color="auto"/>
              <w:bottom w:val="none" w:sz="0" w:space="0" w:color="auto"/>
            </w:tcBorders>
            <w:hideMark/>
          </w:tcPr>
          <w:p w14:paraId="19568886" w14:textId="77777777" w:rsidR="001002CE" w:rsidRPr="00464EFC" w:rsidRDefault="001002CE" w:rsidP="00464EFC">
            <w:pPr>
              <w:jc w:val="center"/>
              <w:cnfStyle w:val="000000100000" w:firstRow="0" w:lastRow="0" w:firstColumn="0" w:lastColumn="0" w:oddVBand="0" w:evenVBand="0" w:oddHBand="1" w:evenHBand="0" w:firstRowFirstColumn="0" w:firstRowLastColumn="0" w:lastRowFirstColumn="0" w:lastRowLastColumn="0"/>
              <w:rPr>
                <w:sz w:val="21"/>
                <w:szCs w:val="21"/>
              </w:rPr>
            </w:pPr>
            <w:r w:rsidRPr="00464EFC">
              <w:rPr>
                <w:sz w:val="21"/>
                <w:szCs w:val="21"/>
              </w:rPr>
              <w:t>12</w:t>
            </w:r>
          </w:p>
        </w:tc>
        <w:tc>
          <w:tcPr>
            <w:tcW w:w="0" w:type="auto"/>
            <w:tcBorders>
              <w:top w:val="none" w:sz="0" w:space="0" w:color="auto"/>
              <w:bottom w:val="none" w:sz="0" w:space="0" w:color="auto"/>
            </w:tcBorders>
            <w:hideMark/>
          </w:tcPr>
          <w:p w14:paraId="27C045D0" w14:textId="26D72DF1" w:rsidR="001002CE" w:rsidRPr="00464EFC" w:rsidRDefault="001002CE" w:rsidP="00464EFC">
            <w:pPr>
              <w:jc w:val="center"/>
              <w:cnfStyle w:val="000000100000" w:firstRow="0" w:lastRow="0" w:firstColumn="0" w:lastColumn="0" w:oddVBand="0" w:evenVBand="0" w:oddHBand="1" w:evenHBand="0" w:firstRowFirstColumn="0" w:firstRowLastColumn="0" w:lastRowFirstColumn="0" w:lastRowLastColumn="0"/>
              <w:rPr>
                <w:sz w:val="21"/>
                <w:szCs w:val="21"/>
              </w:rPr>
            </w:pPr>
            <w:r w:rsidRPr="00464EFC">
              <w:rPr>
                <w:sz w:val="21"/>
                <w:szCs w:val="21"/>
              </w:rPr>
              <w:t>5/1</w:t>
            </w:r>
          </w:p>
        </w:tc>
        <w:tc>
          <w:tcPr>
            <w:tcW w:w="0" w:type="auto"/>
            <w:tcBorders>
              <w:top w:val="none" w:sz="0" w:space="0" w:color="auto"/>
              <w:bottom w:val="none" w:sz="0" w:space="0" w:color="auto"/>
            </w:tcBorders>
            <w:hideMark/>
          </w:tcPr>
          <w:p w14:paraId="1642FAD5" w14:textId="77777777" w:rsidR="001002CE" w:rsidRPr="00464EFC" w:rsidRDefault="001002CE" w:rsidP="00464EFC">
            <w:pPr>
              <w:jc w:val="center"/>
              <w:cnfStyle w:val="000000100000" w:firstRow="0" w:lastRow="0" w:firstColumn="0" w:lastColumn="0" w:oddVBand="0" w:evenVBand="0" w:oddHBand="1" w:evenHBand="0" w:firstRowFirstColumn="0" w:firstRowLastColumn="0" w:lastRowFirstColumn="0" w:lastRowLastColumn="0"/>
              <w:rPr>
                <w:sz w:val="21"/>
                <w:szCs w:val="21"/>
              </w:rPr>
            </w:pPr>
            <w:r w:rsidRPr="00464EFC">
              <w:rPr>
                <w:sz w:val="21"/>
                <w:szCs w:val="21"/>
              </w:rPr>
              <w:t>ReLU</w:t>
            </w:r>
          </w:p>
        </w:tc>
      </w:tr>
      <w:tr w:rsidR="001002CE" w:rsidRPr="00464EFC" w14:paraId="2442AF9E" w14:textId="77777777" w:rsidTr="00F12860">
        <w:trPr>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0CABF6FC" w14:textId="77777777" w:rsidR="001002CE" w:rsidRPr="00464EFC" w:rsidRDefault="001002CE" w:rsidP="00464EFC">
            <w:pPr>
              <w:jc w:val="center"/>
              <w:rPr>
                <w:b w:val="0"/>
                <w:bCs w:val="0"/>
                <w:sz w:val="21"/>
                <w:szCs w:val="21"/>
              </w:rPr>
            </w:pPr>
            <w:r w:rsidRPr="00464EFC">
              <w:rPr>
                <w:b w:val="0"/>
                <w:bCs w:val="0"/>
                <w:sz w:val="21"/>
                <w:szCs w:val="21"/>
              </w:rPr>
              <w:t>Convolution 3 (C3)</w:t>
            </w:r>
          </w:p>
        </w:tc>
        <w:tc>
          <w:tcPr>
            <w:tcW w:w="0" w:type="auto"/>
            <w:hideMark/>
          </w:tcPr>
          <w:p w14:paraId="3C2ED8FF" w14:textId="77777777" w:rsidR="001002CE" w:rsidRPr="00464EFC" w:rsidRDefault="001002CE" w:rsidP="00464EFC">
            <w:pPr>
              <w:jc w:val="center"/>
              <w:cnfStyle w:val="000000000000" w:firstRow="0" w:lastRow="0" w:firstColumn="0" w:lastColumn="0" w:oddVBand="0" w:evenVBand="0" w:oddHBand="0" w:evenHBand="0" w:firstRowFirstColumn="0" w:firstRowLastColumn="0" w:lastRowFirstColumn="0" w:lastRowLastColumn="0"/>
              <w:rPr>
                <w:sz w:val="21"/>
                <w:szCs w:val="21"/>
              </w:rPr>
            </w:pPr>
            <w:r w:rsidRPr="00464EFC">
              <w:rPr>
                <w:sz w:val="21"/>
                <w:szCs w:val="21"/>
              </w:rPr>
              <w:t>60</w:t>
            </w:r>
          </w:p>
        </w:tc>
        <w:tc>
          <w:tcPr>
            <w:tcW w:w="0" w:type="auto"/>
            <w:hideMark/>
          </w:tcPr>
          <w:p w14:paraId="6C4771FF" w14:textId="12C01E12" w:rsidR="001002CE" w:rsidRPr="00464EFC" w:rsidRDefault="001002CE" w:rsidP="00464EFC">
            <w:pPr>
              <w:jc w:val="center"/>
              <w:cnfStyle w:val="000000000000" w:firstRow="0" w:lastRow="0" w:firstColumn="0" w:lastColumn="0" w:oddVBand="0" w:evenVBand="0" w:oddHBand="0" w:evenHBand="0" w:firstRowFirstColumn="0" w:firstRowLastColumn="0" w:lastRowFirstColumn="0" w:lastRowLastColumn="0"/>
              <w:rPr>
                <w:sz w:val="21"/>
                <w:szCs w:val="21"/>
              </w:rPr>
            </w:pPr>
            <w:r w:rsidRPr="00464EFC">
              <w:rPr>
                <w:sz w:val="21"/>
                <w:szCs w:val="21"/>
              </w:rPr>
              <w:t>5/1</w:t>
            </w:r>
          </w:p>
        </w:tc>
        <w:tc>
          <w:tcPr>
            <w:tcW w:w="0" w:type="auto"/>
            <w:hideMark/>
          </w:tcPr>
          <w:p w14:paraId="0BED28CB" w14:textId="77777777" w:rsidR="001002CE" w:rsidRPr="00464EFC" w:rsidRDefault="001002CE" w:rsidP="00464EFC">
            <w:pPr>
              <w:jc w:val="center"/>
              <w:cnfStyle w:val="000000000000" w:firstRow="0" w:lastRow="0" w:firstColumn="0" w:lastColumn="0" w:oddVBand="0" w:evenVBand="0" w:oddHBand="0" w:evenHBand="0" w:firstRowFirstColumn="0" w:firstRowLastColumn="0" w:lastRowFirstColumn="0" w:lastRowLastColumn="0"/>
              <w:rPr>
                <w:sz w:val="21"/>
                <w:szCs w:val="21"/>
              </w:rPr>
            </w:pPr>
            <w:r w:rsidRPr="00464EFC">
              <w:rPr>
                <w:sz w:val="21"/>
                <w:szCs w:val="21"/>
              </w:rPr>
              <w:t>ReLU</w:t>
            </w:r>
          </w:p>
        </w:tc>
      </w:tr>
      <w:tr w:rsidR="001002CE" w:rsidRPr="00464EFC" w14:paraId="3059E64C" w14:textId="77777777" w:rsidTr="00F12860">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tcBorders>
            <w:hideMark/>
          </w:tcPr>
          <w:p w14:paraId="2D57F8E5" w14:textId="77777777" w:rsidR="001002CE" w:rsidRPr="00464EFC" w:rsidRDefault="001002CE" w:rsidP="00464EFC">
            <w:pPr>
              <w:jc w:val="center"/>
              <w:rPr>
                <w:b w:val="0"/>
                <w:bCs w:val="0"/>
                <w:sz w:val="21"/>
                <w:szCs w:val="21"/>
              </w:rPr>
            </w:pPr>
            <w:r w:rsidRPr="00464EFC">
              <w:rPr>
                <w:b w:val="0"/>
                <w:bCs w:val="0"/>
                <w:sz w:val="21"/>
                <w:szCs w:val="21"/>
              </w:rPr>
              <w:t>Flatten</w:t>
            </w:r>
          </w:p>
        </w:tc>
        <w:tc>
          <w:tcPr>
            <w:tcW w:w="0" w:type="auto"/>
            <w:tcBorders>
              <w:top w:val="none" w:sz="0" w:space="0" w:color="auto"/>
              <w:bottom w:val="none" w:sz="0" w:space="0" w:color="auto"/>
            </w:tcBorders>
            <w:hideMark/>
          </w:tcPr>
          <w:p w14:paraId="22F44162" w14:textId="77777777" w:rsidR="001002CE" w:rsidRPr="00464EFC" w:rsidRDefault="001002CE" w:rsidP="00464EFC">
            <w:pPr>
              <w:jc w:val="center"/>
              <w:cnfStyle w:val="000000100000" w:firstRow="0" w:lastRow="0" w:firstColumn="0" w:lastColumn="0" w:oddVBand="0" w:evenVBand="0" w:oddHBand="1" w:evenHBand="0" w:firstRowFirstColumn="0" w:firstRowLastColumn="0" w:lastRowFirstColumn="0" w:lastRowLastColumn="0"/>
              <w:rPr>
                <w:sz w:val="21"/>
                <w:szCs w:val="21"/>
              </w:rPr>
            </w:pPr>
            <w:r w:rsidRPr="00464EFC">
              <w:rPr>
                <w:sz w:val="21"/>
                <w:szCs w:val="21"/>
              </w:rPr>
              <w:t>-</w:t>
            </w:r>
          </w:p>
        </w:tc>
        <w:tc>
          <w:tcPr>
            <w:tcW w:w="0" w:type="auto"/>
            <w:tcBorders>
              <w:top w:val="none" w:sz="0" w:space="0" w:color="auto"/>
              <w:bottom w:val="none" w:sz="0" w:space="0" w:color="auto"/>
            </w:tcBorders>
            <w:hideMark/>
          </w:tcPr>
          <w:p w14:paraId="0F7D1E6D" w14:textId="77777777" w:rsidR="001002CE" w:rsidRPr="00464EFC" w:rsidRDefault="001002CE" w:rsidP="00464EFC">
            <w:pPr>
              <w:jc w:val="center"/>
              <w:cnfStyle w:val="000000100000" w:firstRow="0" w:lastRow="0" w:firstColumn="0" w:lastColumn="0" w:oddVBand="0" w:evenVBand="0" w:oddHBand="1" w:evenHBand="0" w:firstRowFirstColumn="0" w:firstRowLastColumn="0" w:lastRowFirstColumn="0" w:lastRowLastColumn="0"/>
              <w:rPr>
                <w:sz w:val="21"/>
                <w:szCs w:val="21"/>
              </w:rPr>
            </w:pPr>
            <w:r w:rsidRPr="00464EFC">
              <w:rPr>
                <w:sz w:val="21"/>
                <w:szCs w:val="21"/>
              </w:rPr>
              <w:t>-</w:t>
            </w:r>
          </w:p>
        </w:tc>
        <w:tc>
          <w:tcPr>
            <w:tcW w:w="0" w:type="auto"/>
            <w:tcBorders>
              <w:top w:val="none" w:sz="0" w:space="0" w:color="auto"/>
              <w:bottom w:val="none" w:sz="0" w:space="0" w:color="auto"/>
            </w:tcBorders>
            <w:hideMark/>
          </w:tcPr>
          <w:p w14:paraId="4E04FC8F" w14:textId="77777777" w:rsidR="001002CE" w:rsidRPr="00464EFC" w:rsidRDefault="001002CE" w:rsidP="00464EFC">
            <w:pPr>
              <w:jc w:val="center"/>
              <w:cnfStyle w:val="000000100000" w:firstRow="0" w:lastRow="0" w:firstColumn="0" w:lastColumn="0" w:oddVBand="0" w:evenVBand="0" w:oddHBand="1" w:evenHBand="0" w:firstRowFirstColumn="0" w:firstRowLastColumn="0" w:lastRowFirstColumn="0" w:lastRowLastColumn="0"/>
              <w:rPr>
                <w:sz w:val="21"/>
                <w:szCs w:val="21"/>
              </w:rPr>
            </w:pPr>
            <w:r w:rsidRPr="00464EFC">
              <w:rPr>
                <w:sz w:val="21"/>
                <w:szCs w:val="21"/>
              </w:rPr>
              <w:t>-</w:t>
            </w:r>
          </w:p>
        </w:tc>
      </w:tr>
      <w:tr w:rsidR="001002CE" w:rsidRPr="00464EFC" w14:paraId="3006CCC6" w14:textId="77777777" w:rsidTr="00F12860">
        <w:trPr>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03E4BE1D" w14:textId="77777777" w:rsidR="001002CE" w:rsidRPr="00464EFC" w:rsidRDefault="001002CE" w:rsidP="00464EFC">
            <w:pPr>
              <w:jc w:val="center"/>
              <w:rPr>
                <w:b w:val="0"/>
                <w:bCs w:val="0"/>
                <w:sz w:val="21"/>
                <w:szCs w:val="21"/>
              </w:rPr>
            </w:pPr>
            <w:r w:rsidRPr="00464EFC">
              <w:rPr>
                <w:b w:val="0"/>
                <w:bCs w:val="0"/>
                <w:sz w:val="21"/>
                <w:szCs w:val="21"/>
              </w:rPr>
              <w:t>Fully Connected 1 (FC1)</w:t>
            </w:r>
          </w:p>
        </w:tc>
        <w:tc>
          <w:tcPr>
            <w:tcW w:w="0" w:type="auto"/>
            <w:hideMark/>
          </w:tcPr>
          <w:p w14:paraId="795E2377" w14:textId="77777777" w:rsidR="001002CE" w:rsidRPr="00464EFC" w:rsidRDefault="001002CE" w:rsidP="00464EFC">
            <w:pPr>
              <w:jc w:val="center"/>
              <w:cnfStyle w:val="000000000000" w:firstRow="0" w:lastRow="0" w:firstColumn="0" w:lastColumn="0" w:oddVBand="0" w:evenVBand="0" w:oddHBand="0" w:evenHBand="0" w:firstRowFirstColumn="0" w:firstRowLastColumn="0" w:lastRowFirstColumn="0" w:lastRowLastColumn="0"/>
              <w:rPr>
                <w:sz w:val="21"/>
                <w:szCs w:val="21"/>
              </w:rPr>
            </w:pPr>
            <w:r w:rsidRPr="00464EFC">
              <w:rPr>
                <w:sz w:val="21"/>
                <w:szCs w:val="21"/>
              </w:rPr>
              <w:t>60</w:t>
            </w:r>
          </w:p>
        </w:tc>
        <w:tc>
          <w:tcPr>
            <w:tcW w:w="0" w:type="auto"/>
            <w:hideMark/>
          </w:tcPr>
          <w:p w14:paraId="2B8390A1" w14:textId="77777777" w:rsidR="001002CE" w:rsidRPr="00464EFC" w:rsidRDefault="001002CE" w:rsidP="00464EFC">
            <w:pPr>
              <w:jc w:val="center"/>
              <w:cnfStyle w:val="000000000000" w:firstRow="0" w:lastRow="0" w:firstColumn="0" w:lastColumn="0" w:oddVBand="0" w:evenVBand="0" w:oddHBand="0" w:evenHBand="0" w:firstRowFirstColumn="0" w:firstRowLastColumn="0" w:lastRowFirstColumn="0" w:lastRowLastColumn="0"/>
              <w:rPr>
                <w:sz w:val="21"/>
                <w:szCs w:val="21"/>
              </w:rPr>
            </w:pPr>
            <w:r w:rsidRPr="00464EFC">
              <w:rPr>
                <w:sz w:val="21"/>
                <w:szCs w:val="21"/>
              </w:rPr>
              <w:t>-</w:t>
            </w:r>
          </w:p>
        </w:tc>
        <w:tc>
          <w:tcPr>
            <w:tcW w:w="0" w:type="auto"/>
            <w:hideMark/>
          </w:tcPr>
          <w:p w14:paraId="715048D3" w14:textId="77777777" w:rsidR="001002CE" w:rsidRPr="00464EFC" w:rsidRDefault="001002CE" w:rsidP="00464EFC">
            <w:pPr>
              <w:jc w:val="center"/>
              <w:cnfStyle w:val="000000000000" w:firstRow="0" w:lastRow="0" w:firstColumn="0" w:lastColumn="0" w:oddVBand="0" w:evenVBand="0" w:oddHBand="0" w:evenHBand="0" w:firstRowFirstColumn="0" w:firstRowLastColumn="0" w:lastRowFirstColumn="0" w:lastRowLastColumn="0"/>
              <w:rPr>
                <w:sz w:val="21"/>
                <w:szCs w:val="21"/>
              </w:rPr>
            </w:pPr>
            <w:r w:rsidRPr="00464EFC">
              <w:rPr>
                <w:sz w:val="21"/>
                <w:szCs w:val="21"/>
              </w:rPr>
              <w:t>ReLU</w:t>
            </w:r>
          </w:p>
        </w:tc>
      </w:tr>
      <w:tr w:rsidR="001002CE" w:rsidRPr="00464EFC" w14:paraId="76553618" w14:textId="77777777" w:rsidTr="00F12860">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tcBorders>
            <w:hideMark/>
          </w:tcPr>
          <w:p w14:paraId="0FEAA72B" w14:textId="77777777" w:rsidR="001002CE" w:rsidRPr="00464EFC" w:rsidRDefault="001002CE" w:rsidP="00464EFC">
            <w:pPr>
              <w:jc w:val="center"/>
              <w:rPr>
                <w:b w:val="0"/>
                <w:bCs w:val="0"/>
                <w:sz w:val="21"/>
                <w:szCs w:val="21"/>
              </w:rPr>
            </w:pPr>
            <w:r w:rsidRPr="00464EFC">
              <w:rPr>
                <w:b w:val="0"/>
                <w:bCs w:val="0"/>
                <w:sz w:val="21"/>
                <w:szCs w:val="21"/>
              </w:rPr>
              <w:t>Fully Connected 2 (Output)</w:t>
            </w:r>
          </w:p>
        </w:tc>
        <w:tc>
          <w:tcPr>
            <w:tcW w:w="0" w:type="auto"/>
            <w:tcBorders>
              <w:top w:val="none" w:sz="0" w:space="0" w:color="auto"/>
              <w:bottom w:val="none" w:sz="0" w:space="0" w:color="auto"/>
            </w:tcBorders>
            <w:hideMark/>
          </w:tcPr>
          <w:p w14:paraId="381BCAED" w14:textId="77777777" w:rsidR="001002CE" w:rsidRPr="00464EFC" w:rsidRDefault="001002CE" w:rsidP="00464EFC">
            <w:pPr>
              <w:jc w:val="center"/>
              <w:cnfStyle w:val="000000100000" w:firstRow="0" w:lastRow="0" w:firstColumn="0" w:lastColumn="0" w:oddVBand="0" w:evenVBand="0" w:oddHBand="1" w:evenHBand="0" w:firstRowFirstColumn="0" w:firstRowLastColumn="0" w:lastRowFirstColumn="0" w:lastRowLastColumn="0"/>
              <w:rPr>
                <w:sz w:val="21"/>
                <w:szCs w:val="21"/>
              </w:rPr>
            </w:pPr>
            <w:r w:rsidRPr="00464EFC">
              <w:rPr>
                <w:sz w:val="21"/>
                <w:szCs w:val="21"/>
              </w:rPr>
              <w:t>6</w:t>
            </w:r>
          </w:p>
        </w:tc>
        <w:tc>
          <w:tcPr>
            <w:tcW w:w="0" w:type="auto"/>
            <w:tcBorders>
              <w:top w:val="none" w:sz="0" w:space="0" w:color="auto"/>
              <w:bottom w:val="none" w:sz="0" w:space="0" w:color="auto"/>
            </w:tcBorders>
            <w:hideMark/>
          </w:tcPr>
          <w:p w14:paraId="1D44C9AE" w14:textId="77777777" w:rsidR="001002CE" w:rsidRPr="00464EFC" w:rsidRDefault="001002CE" w:rsidP="00464EFC">
            <w:pPr>
              <w:jc w:val="center"/>
              <w:cnfStyle w:val="000000100000" w:firstRow="0" w:lastRow="0" w:firstColumn="0" w:lastColumn="0" w:oddVBand="0" w:evenVBand="0" w:oddHBand="1" w:evenHBand="0" w:firstRowFirstColumn="0" w:firstRowLastColumn="0" w:lastRowFirstColumn="0" w:lastRowLastColumn="0"/>
              <w:rPr>
                <w:sz w:val="21"/>
                <w:szCs w:val="21"/>
              </w:rPr>
            </w:pPr>
            <w:r w:rsidRPr="00464EFC">
              <w:rPr>
                <w:sz w:val="21"/>
                <w:szCs w:val="21"/>
              </w:rPr>
              <w:t>-</w:t>
            </w:r>
          </w:p>
        </w:tc>
        <w:tc>
          <w:tcPr>
            <w:tcW w:w="0" w:type="auto"/>
            <w:tcBorders>
              <w:top w:val="none" w:sz="0" w:space="0" w:color="auto"/>
              <w:bottom w:val="none" w:sz="0" w:space="0" w:color="auto"/>
            </w:tcBorders>
            <w:hideMark/>
          </w:tcPr>
          <w:p w14:paraId="72F9DB0B" w14:textId="77777777" w:rsidR="001002CE" w:rsidRPr="00464EFC" w:rsidRDefault="001002CE" w:rsidP="00464EFC">
            <w:pPr>
              <w:jc w:val="center"/>
              <w:cnfStyle w:val="000000100000" w:firstRow="0" w:lastRow="0" w:firstColumn="0" w:lastColumn="0" w:oddVBand="0" w:evenVBand="0" w:oddHBand="1" w:evenHBand="0" w:firstRowFirstColumn="0" w:firstRowLastColumn="0" w:lastRowFirstColumn="0" w:lastRowLastColumn="0"/>
              <w:rPr>
                <w:sz w:val="21"/>
                <w:szCs w:val="21"/>
              </w:rPr>
            </w:pPr>
            <w:r w:rsidRPr="00464EFC">
              <w:rPr>
                <w:sz w:val="21"/>
                <w:szCs w:val="21"/>
              </w:rPr>
              <w:t>Softmax</w:t>
            </w:r>
          </w:p>
        </w:tc>
      </w:tr>
    </w:tbl>
    <w:bookmarkEnd w:id="12"/>
    <w:p w14:paraId="57A817AC" w14:textId="663F8DC5" w:rsidR="001002CE" w:rsidRPr="00460FC2" w:rsidRDefault="001002CE" w:rsidP="00581B55">
      <w:pPr>
        <w:spacing w:beforeLines="50" w:before="156" w:afterLines="50" w:after="156"/>
      </w:pPr>
      <w:r w:rsidRPr="00460FC2">
        <w:rPr>
          <w:b/>
          <w:bCs/>
        </w:rPr>
        <w:t>Table S5</w:t>
      </w:r>
      <w:r w:rsidRPr="00460FC2">
        <w:t xml:space="preserve"> Training hyperparameters used in this study</w:t>
      </w:r>
    </w:p>
    <w:tbl>
      <w:tblPr>
        <w:tblStyle w:val="af5"/>
        <w:tblW w:w="8570" w:type="dxa"/>
        <w:tblBorders>
          <w:insideH w:val="none" w:sz="0" w:space="0" w:color="auto"/>
        </w:tblBorders>
        <w:tblLook w:val="04A0" w:firstRow="1" w:lastRow="0" w:firstColumn="1" w:lastColumn="0" w:noHBand="0" w:noVBand="1"/>
      </w:tblPr>
      <w:tblGrid>
        <w:gridCol w:w="2710"/>
        <w:gridCol w:w="5860"/>
      </w:tblGrid>
      <w:tr w:rsidR="001002CE" w:rsidRPr="00464EFC" w14:paraId="0A01FFC1" w14:textId="77777777" w:rsidTr="00F12860">
        <w:trPr>
          <w:trHeight w:val="20"/>
        </w:trPr>
        <w:tc>
          <w:tcPr>
            <w:tcW w:w="0" w:type="auto"/>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hideMark/>
          </w:tcPr>
          <w:p w14:paraId="124BF916" w14:textId="77777777" w:rsidR="001002CE" w:rsidRPr="00464EFC" w:rsidRDefault="001002CE" w:rsidP="00464EFC">
            <w:pPr>
              <w:jc w:val="center"/>
              <w:rPr>
                <w:sz w:val="21"/>
                <w:szCs w:val="21"/>
              </w:rPr>
            </w:pPr>
            <w:bookmarkStart w:id="13" w:name="_Hlk219471323"/>
            <w:r w:rsidRPr="00464EFC">
              <w:rPr>
                <w:sz w:val="21"/>
                <w:szCs w:val="21"/>
              </w:rPr>
              <w:t>Hyperparameter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hideMark/>
          </w:tcPr>
          <w:p w14:paraId="079F6C14" w14:textId="77777777" w:rsidR="001002CE" w:rsidRPr="00464EFC" w:rsidRDefault="001002CE" w:rsidP="00464EFC">
            <w:pPr>
              <w:jc w:val="center"/>
              <w:rPr>
                <w:sz w:val="21"/>
                <w:szCs w:val="21"/>
              </w:rPr>
            </w:pPr>
            <w:r w:rsidRPr="00464EFC">
              <w:rPr>
                <w:sz w:val="21"/>
                <w:szCs w:val="21"/>
              </w:rPr>
              <w:t>Value</w:t>
            </w:r>
          </w:p>
        </w:tc>
      </w:tr>
      <w:tr w:rsidR="001002CE" w:rsidRPr="00464EFC" w14:paraId="26007357" w14:textId="77777777" w:rsidTr="00F12860">
        <w:trPr>
          <w:trHeight w:val="20"/>
        </w:trPr>
        <w:tc>
          <w:tcPr>
            <w:tcW w:w="0" w:type="auto"/>
            <w:tcBorders>
              <w:top w:val="single" w:sz="4" w:space="0" w:color="BFBFBF" w:themeColor="background1" w:themeShade="BF"/>
              <w:left w:val="nil"/>
              <w:right w:val="single" w:sz="4" w:space="0" w:color="BFBFBF" w:themeColor="background1" w:themeShade="BF"/>
            </w:tcBorders>
            <w:hideMark/>
          </w:tcPr>
          <w:p w14:paraId="09BD4358" w14:textId="77777777" w:rsidR="001002CE" w:rsidRPr="00464EFC" w:rsidRDefault="001002CE" w:rsidP="00464EFC">
            <w:pPr>
              <w:jc w:val="center"/>
              <w:rPr>
                <w:sz w:val="21"/>
                <w:szCs w:val="21"/>
              </w:rPr>
            </w:pPr>
            <w:r w:rsidRPr="00464EFC">
              <w:rPr>
                <w:sz w:val="21"/>
                <w:szCs w:val="21"/>
              </w:rPr>
              <w:t>Optimizer</w:t>
            </w:r>
          </w:p>
        </w:tc>
        <w:tc>
          <w:tcPr>
            <w:tcW w:w="0" w:type="auto"/>
            <w:tcBorders>
              <w:top w:val="single" w:sz="4" w:space="0" w:color="BFBFBF" w:themeColor="background1" w:themeShade="BF"/>
              <w:left w:val="single" w:sz="4" w:space="0" w:color="BFBFBF" w:themeColor="background1" w:themeShade="BF"/>
              <w:right w:val="nil"/>
            </w:tcBorders>
            <w:hideMark/>
          </w:tcPr>
          <w:p w14:paraId="3CCD2B3C" w14:textId="77777777" w:rsidR="001002CE" w:rsidRPr="00464EFC" w:rsidRDefault="001002CE" w:rsidP="00464EFC">
            <w:pPr>
              <w:jc w:val="center"/>
              <w:rPr>
                <w:sz w:val="21"/>
                <w:szCs w:val="21"/>
              </w:rPr>
            </w:pPr>
            <w:r w:rsidRPr="00464EFC">
              <w:rPr>
                <w:sz w:val="21"/>
                <w:szCs w:val="21"/>
              </w:rPr>
              <w:t>Adam (Adaptive Moment Estimation)</w:t>
            </w:r>
          </w:p>
        </w:tc>
      </w:tr>
      <w:tr w:rsidR="001002CE" w:rsidRPr="00464EFC" w14:paraId="4C1A1BF0" w14:textId="77777777" w:rsidTr="00F12860">
        <w:trPr>
          <w:trHeight w:val="20"/>
        </w:trPr>
        <w:tc>
          <w:tcPr>
            <w:tcW w:w="0" w:type="auto"/>
            <w:tcBorders>
              <w:left w:val="nil"/>
              <w:right w:val="single" w:sz="4" w:space="0" w:color="BFBFBF" w:themeColor="background1" w:themeShade="BF"/>
            </w:tcBorders>
            <w:hideMark/>
          </w:tcPr>
          <w:p w14:paraId="7A55A293" w14:textId="77777777" w:rsidR="001002CE" w:rsidRPr="00464EFC" w:rsidRDefault="001002CE" w:rsidP="00464EFC">
            <w:pPr>
              <w:jc w:val="center"/>
              <w:rPr>
                <w:sz w:val="21"/>
                <w:szCs w:val="21"/>
              </w:rPr>
            </w:pPr>
            <w:r w:rsidRPr="00464EFC">
              <w:rPr>
                <w:sz w:val="21"/>
                <w:szCs w:val="21"/>
              </w:rPr>
              <w:t>Learning Rate</w:t>
            </w:r>
          </w:p>
        </w:tc>
        <w:tc>
          <w:tcPr>
            <w:tcW w:w="0" w:type="auto"/>
            <w:tcBorders>
              <w:left w:val="single" w:sz="4" w:space="0" w:color="BFBFBF" w:themeColor="background1" w:themeShade="BF"/>
              <w:right w:val="nil"/>
            </w:tcBorders>
            <w:hideMark/>
          </w:tcPr>
          <w:p w14:paraId="424AD6AA" w14:textId="77777777" w:rsidR="001002CE" w:rsidRPr="00464EFC" w:rsidRDefault="001002CE" w:rsidP="00464EFC">
            <w:pPr>
              <w:jc w:val="center"/>
              <w:rPr>
                <w:sz w:val="21"/>
                <w:szCs w:val="21"/>
              </w:rPr>
            </w:pPr>
            <w:r w:rsidRPr="00464EFC">
              <w:rPr>
                <w:sz w:val="21"/>
                <w:szCs w:val="21"/>
              </w:rPr>
              <w:t>0.001</w:t>
            </w:r>
          </w:p>
        </w:tc>
      </w:tr>
      <w:tr w:rsidR="001002CE" w:rsidRPr="00464EFC" w14:paraId="24AD5792" w14:textId="77777777" w:rsidTr="00F12860">
        <w:trPr>
          <w:trHeight w:val="20"/>
        </w:trPr>
        <w:tc>
          <w:tcPr>
            <w:tcW w:w="0" w:type="auto"/>
            <w:tcBorders>
              <w:left w:val="nil"/>
              <w:right w:val="single" w:sz="4" w:space="0" w:color="BFBFBF" w:themeColor="background1" w:themeShade="BF"/>
            </w:tcBorders>
            <w:hideMark/>
          </w:tcPr>
          <w:p w14:paraId="20AE9A69" w14:textId="77777777" w:rsidR="001002CE" w:rsidRPr="00464EFC" w:rsidRDefault="001002CE" w:rsidP="00464EFC">
            <w:pPr>
              <w:jc w:val="center"/>
              <w:rPr>
                <w:sz w:val="21"/>
                <w:szCs w:val="21"/>
              </w:rPr>
            </w:pPr>
            <w:r w:rsidRPr="00464EFC">
              <w:rPr>
                <w:sz w:val="21"/>
                <w:szCs w:val="21"/>
              </w:rPr>
              <w:t>Loss Function</w:t>
            </w:r>
          </w:p>
        </w:tc>
        <w:tc>
          <w:tcPr>
            <w:tcW w:w="0" w:type="auto"/>
            <w:tcBorders>
              <w:left w:val="single" w:sz="4" w:space="0" w:color="BFBFBF" w:themeColor="background1" w:themeShade="BF"/>
              <w:right w:val="nil"/>
            </w:tcBorders>
            <w:hideMark/>
          </w:tcPr>
          <w:p w14:paraId="656667EA" w14:textId="77777777" w:rsidR="001002CE" w:rsidRPr="00464EFC" w:rsidRDefault="001002CE" w:rsidP="00464EFC">
            <w:pPr>
              <w:jc w:val="center"/>
              <w:rPr>
                <w:sz w:val="21"/>
                <w:szCs w:val="21"/>
              </w:rPr>
            </w:pPr>
            <w:r w:rsidRPr="00464EFC">
              <w:rPr>
                <w:sz w:val="21"/>
                <w:szCs w:val="21"/>
              </w:rPr>
              <w:t>Cross-Entropy Loss</w:t>
            </w:r>
          </w:p>
        </w:tc>
      </w:tr>
      <w:tr w:rsidR="001002CE" w:rsidRPr="00464EFC" w14:paraId="3257A581" w14:textId="77777777" w:rsidTr="00F12860">
        <w:trPr>
          <w:trHeight w:val="20"/>
        </w:trPr>
        <w:tc>
          <w:tcPr>
            <w:tcW w:w="0" w:type="auto"/>
            <w:tcBorders>
              <w:left w:val="nil"/>
              <w:right w:val="single" w:sz="4" w:space="0" w:color="BFBFBF" w:themeColor="background1" w:themeShade="BF"/>
            </w:tcBorders>
            <w:hideMark/>
          </w:tcPr>
          <w:p w14:paraId="29055488" w14:textId="77777777" w:rsidR="001002CE" w:rsidRPr="00464EFC" w:rsidRDefault="001002CE" w:rsidP="00464EFC">
            <w:pPr>
              <w:jc w:val="center"/>
              <w:rPr>
                <w:sz w:val="21"/>
                <w:szCs w:val="21"/>
              </w:rPr>
            </w:pPr>
            <w:r w:rsidRPr="00464EFC">
              <w:rPr>
                <w:sz w:val="21"/>
                <w:szCs w:val="21"/>
              </w:rPr>
              <w:t>Batch Size</w:t>
            </w:r>
          </w:p>
        </w:tc>
        <w:tc>
          <w:tcPr>
            <w:tcW w:w="0" w:type="auto"/>
            <w:tcBorders>
              <w:left w:val="single" w:sz="4" w:space="0" w:color="BFBFBF" w:themeColor="background1" w:themeShade="BF"/>
              <w:right w:val="nil"/>
            </w:tcBorders>
            <w:hideMark/>
          </w:tcPr>
          <w:p w14:paraId="4C88ACBD" w14:textId="77777777" w:rsidR="001002CE" w:rsidRPr="00464EFC" w:rsidRDefault="001002CE" w:rsidP="00464EFC">
            <w:pPr>
              <w:jc w:val="center"/>
              <w:rPr>
                <w:sz w:val="21"/>
                <w:szCs w:val="21"/>
              </w:rPr>
            </w:pPr>
            <w:r w:rsidRPr="00464EFC">
              <w:rPr>
                <w:sz w:val="21"/>
                <w:szCs w:val="21"/>
              </w:rPr>
              <w:t>32</w:t>
            </w:r>
          </w:p>
        </w:tc>
      </w:tr>
      <w:tr w:rsidR="001002CE" w:rsidRPr="00464EFC" w14:paraId="2B1AFDFE" w14:textId="77777777" w:rsidTr="00F12860">
        <w:trPr>
          <w:trHeight w:val="20"/>
        </w:trPr>
        <w:tc>
          <w:tcPr>
            <w:tcW w:w="0" w:type="auto"/>
            <w:tcBorders>
              <w:left w:val="nil"/>
              <w:right w:val="single" w:sz="4" w:space="0" w:color="BFBFBF" w:themeColor="background1" w:themeShade="BF"/>
            </w:tcBorders>
            <w:hideMark/>
          </w:tcPr>
          <w:p w14:paraId="67750D58" w14:textId="77777777" w:rsidR="001002CE" w:rsidRPr="00464EFC" w:rsidRDefault="001002CE" w:rsidP="00464EFC">
            <w:pPr>
              <w:jc w:val="center"/>
              <w:rPr>
                <w:sz w:val="21"/>
                <w:szCs w:val="21"/>
              </w:rPr>
            </w:pPr>
            <w:r w:rsidRPr="00464EFC">
              <w:rPr>
                <w:sz w:val="21"/>
                <w:szCs w:val="21"/>
              </w:rPr>
              <w:t>Total Epochs</w:t>
            </w:r>
          </w:p>
        </w:tc>
        <w:tc>
          <w:tcPr>
            <w:tcW w:w="0" w:type="auto"/>
            <w:tcBorders>
              <w:left w:val="single" w:sz="4" w:space="0" w:color="BFBFBF" w:themeColor="background1" w:themeShade="BF"/>
              <w:right w:val="nil"/>
            </w:tcBorders>
            <w:hideMark/>
          </w:tcPr>
          <w:p w14:paraId="108DCDC0" w14:textId="77777777" w:rsidR="001002CE" w:rsidRPr="00464EFC" w:rsidRDefault="001002CE" w:rsidP="00464EFC">
            <w:pPr>
              <w:jc w:val="center"/>
              <w:rPr>
                <w:sz w:val="21"/>
                <w:szCs w:val="21"/>
              </w:rPr>
            </w:pPr>
            <w:r w:rsidRPr="00464EFC">
              <w:rPr>
                <w:sz w:val="21"/>
                <w:szCs w:val="21"/>
              </w:rPr>
              <w:t>100</w:t>
            </w:r>
          </w:p>
        </w:tc>
      </w:tr>
      <w:tr w:rsidR="001002CE" w:rsidRPr="00464EFC" w14:paraId="1E8C7692" w14:textId="77777777" w:rsidTr="00F12860">
        <w:trPr>
          <w:trHeight w:val="20"/>
        </w:trPr>
        <w:tc>
          <w:tcPr>
            <w:tcW w:w="0" w:type="auto"/>
            <w:tcBorders>
              <w:left w:val="nil"/>
              <w:bottom w:val="single" w:sz="4" w:space="0" w:color="BFBFBF" w:themeColor="background1" w:themeShade="BF"/>
              <w:right w:val="single" w:sz="4" w:space="0" w:color="BFBFBF" w:themeColor="background1" w:themeShade="BF"/>
            </w:tcBorders>
            <w:hideMark/>
          </w:tcPr>
          <w:p w14:paraId="458EB870" w14:textId="77777777" w:rsidR="001002CE" w:rsidRPr="00464EFC" w:rsidRDefault="001002CE" w:rsidP="00464EFC">
            <w:pPr>
              <w:jc w:val="center"/>
              <w:rPr>
                <w:sz w:val="21"/>
                <w:szCs w:val="21"/>
              </w:rPr>
            </w:pPr>
            <w:r w:rsidRPr="00464EFC">
              <w:rPr>
                <w:sz w:val="21"/>
                <w:szCs w:val="21"/>
              </w:rPr>
              <w:t>Framework</w:t>
            </w:r>
          </w:p>
        </w:tc>
        <w:tc>
          <w:tcPr>
            <w:tcW w:w="0" w:type="auto"/>
            <w:tcBorders>
              <w:left w:val="single" w:sz="4" w:space="0" w:color="BFBFBF" w:themeColor="background1" w:themeShade="BF"/>
              <w:bottom w:val="single" w:sz="4" w:space="0" w:color="BFBFBF" w:themeColor="background1" w:themeShade="BF"/>
              <w:right w:val="nil"/>
            </w:tcBorders>
            <w:hideMark/>
          </w:tcPr>
          <w:p w14:paraId="0F467F40" w14:textId="77777777" w:rsidR="001002CE" w:rsidRPr="00464EFC" w:rsidRDefault="001002CE" w:rsidP="00464EFC">
            <w:pPr>
              <w:jc w:val="center"/>
              <w:rPr>
                <w:sz w:val="21"/>
                <w:szCs w:val="21"/>
              </w:rPr>
            </w:pPr>
            <w:r w:rsidRPr="00464EFC">
              <w:rPr>
                <w:sz w:val="21"/>
                <w:szCs w:val="21"/>
              </w:rPr>
              <w:t>PyTorch</w:t>
            </w:r>
          </w:p>
        </w:tc>
      </w:tr>
    </w:tbl>
    <w:bookmarkEnd w:id="13"/>
    <w:p w14:paraId="48CCDA92" w14:textId="1049A39C" w:rsidR="00DF4A8C" w:rsidRPr="00464EFC" w:rsidRDefault="00925BFC" w:rsidP="00581B55">
      <w:pPr>
        <w:spacing w:beforeLines="50" w:before="156" w:afterLines="50" w:after="156"/>
        <w:rPr>
          <w:b/>
          <w:bCs/>
          <w:sz w:val="28"/>
          <w:szCs w:val="28"/>
        </w:rPr>
      </w:pPr>
      <w:r w:rsidRPr="00464EFC">
        <w:rPr>
          <w:b/>
          <w:bCs/>
          <w:sz w:val="28"/>
          <w:szCs w:val="28"/>
        </w:rPr>
        <w:t xml:space="preserve">Supplementary </w:t>
      </w:r>
      <w:r w:rsidR="00FF77AA" w:rsidRPr="00464EFC">
        <w:rPr>
          <w:b/>
          <w:bCs/>
          <w:sz w:val="28"/>
          <w:szCs w:val="28"/>
        </w:rPr>
        <w:t>Reference</w:t>
      </w:r>
      <w:r w:rsidR="00464EFC">
        <w:rPr>
          <w:rFonts w:hint="eastAsia"/>
          <w:b/>
          <w:bCs/>
          <w:sz w:val="28"/>
          <w:szCs w:val="28"/>
        </w:rPr>
        <w:t>s</w:t>
      </w:r>
    </w:p>
    <w:p w14:paraId="50A86E80" w14:textId="60582E77" w:rsidR="00DF4A8C" w:rsidRPr="00464EFC" w:rsidRDefault="00DF4A8C" w:rsidP="00464EFC">
      <w:pPr>
        <w:pStyle w:val="2"/>
        <w:numPr>
          <w:ilvl w:val="0"/>
          <w:numId w:val="8"/>
        </w:numPr>
        <w:spacing w:beforeLines="50" w:before="156" w:afterLines="50" w:after="156" w:line="240" w:lineRule="auto"/>
      </w:pPr>
      <w:r w:rsidRPr="00464EFC">
        <w:t xml:space="preserve">M.S. Kim, Y. Lee, J. Ahn, S. Kim, K. Kang et al., Skin-like omnidirectional stretchable platform with negative Poisson’s ratio for wearable strain–pressure simultaneous sensor. Adv. Funct. Mater. </w:t>
      </w:r>
      <w:r w:rsidRPr="00464EFC">
        <w:rPr>
          <w:b/>
        </w:rPr>
        <w:t>33</w:t>
      </w:r>
      <w:r w:rsidRPr="00464EFC">
        <w:t xml:space="preserve">(3), 2208792 (2023). </w:t>
      </w:r>
      <w:hyperlink r:id="rId32" w:history="1">
        <w:r w:rsidR="00D15D14" w:rsidRPr="009931FB">
          <w:rPr>
            <w:rStyle w:val="af3"/>
          </w:rPr>
          <w:t>https://doi.org/10.1002/adfm.202208792</w:t>
        </w:r>
      </w:hyperlink>
      <w:r w:rsidR="00D15D14">
        <w:rPr>
          <w:rFonts w:hint="eastAsia"/>
        </w:rPr>
        <w:t xml:space="preserve"> </w:t>
      </w:r>
    </w:p>
    <w:p w14:paraId="1B3C7117" w14:textId="6D60F5EC" w:rsidR="00DF4A8C" w:rsidRPr="00464EFC" w:rsidRDefault="00DF4A8C" w:rsidP="00464EFC">
      <w:pPr>
        <w:pStyle w:val="2"/>
        <w:numPr>
          <w:ilvl w:val="0"/>
          <w:numId w:val="8"/>
        </w:numPr>
        <w:spacing w:beforeLines="50" w:before="156" w:afterLines="50" w:after="156" w:line="240" w:lineRule="auto"/>
      </w:pPr>
      <w:r w:rsidRPr="00464EFC">
        <w:t xml:space="preserve">S. Dong, H. Hu, Sensors based on auxetic materials and structures: a review. Materials </w:t>
      </w:r>
      <w:r w:rsidRPr="00464EFC">
        <w:rPr>
          <w:b/>
        </w:rPr>
        <w:t>16</w:t>
      </w:r>
      <w:r w:rsidRPr="00464EFC">
        <w:t xml:space="preserve">(9), 3603 (2023). </w:t>
      </w:r>
      <w:hyperlink r:id="rId33" w:history="1">
        <w:r w:rsidR="00D15D14" w:rsidRPr="009931FB">
          <w:rPr>
            <w:rStyle w:val="af3"/>
          </w:rPr>
          <w:t>https://doi.org/10.3390/ma16093603</w:t>
        </w:r>
      </w:hyperlink>
      <w:r w:rsidR="00D15D14">
        <w:rPr>
          <w:rFonts w:hint="eastAsia"/>
        </w:rPr>
        <w:t xml:space="preserve"> </w:t>
      </w:r>
    </w:p>
    <w:p w14:paraId="35683E7B" w14:textId="1F0DB7B3" w:rsidR="00DF4A8C" w:rsidRPr="00464EFC" w:rsidRDefault="00DF4A8C" w:rsidP="00464EFC">
      <w:pPr>
        <w:pStyle w:val="2"/>
        <w:numPr>
          <w:ilvl w:val="0"/>
          <w:numId w:val="8"/>
        </w:numPr>
        <w:spacing w:beforeLines="50" w:before="156" w:afterLines="50" w:after="156" w:line="240" w:lineRule="auto"/>
      </w:pPr>
      <w:r w:rsidRPr="00464EFC">
        <w:t xml:space="preserve">H. Wu, C. Shan, S. Fu, K. Li, J. Wang et al., Efficient energy conversion mechanism and energy storage strategy for triboelectric nanogenerators. Nat. Commun. </w:t>
      </w:r>
      <w:r w:rsidRPr="00464EFC">
        <w:rPr>
          <w:b/>
        </w:rPr>
        <w:t>15</w:t>
      </w:r>
      <w:r w:rsidRPr="00464EFC">
        <w:t xml:space="preserve">(1), 6558 (2024). </w:t>
      </w:r>
      <w:hyperlink r:id="rId34" w:history="1">
        <w:r w:rsidR="00D15D14" w:rsidRPr="009931FB">
          <w:rPr>
            <w:rStyle w:val="af3"/>
          </w:rPr>
          <w:t>https://doi.org/10.1038/s41467-024-50978-7</w:t>
        </w:r>
      </w:hyperlink>
      <w:r w:rsidR="00D15D14">
        <w:rPr>
          <w:rFonts w:hint="eastAsia"/>
        </w:rPr>
        <w:t xml:space="preserve"> </w:t>
      </w:r>
    </w:p>
    <w:p w14:paraId="676C1861" w14:textId="7F1ED667" w:rsidR="00DF4A8C" w:rsidRPr="00464EFC" w:rsidRDefault="00DF4A8C" w:rsidP="00464EFC">
      <w:pPr>
        <w:pStyle w:val="2"/>
        <w:numPr>
          <w:ilvl w:val="0"/>
          <w:numId w:val="8"/>
        </w:numPr>
        <w:spacing w:beforeLines="50" w:before="156" w:afterLines="50" w:after="156" w:line="240" w:lineRule="auto"/>
      </w:pPr>
      <w:r w:rsidRPr="00464EFC">
        <w:t xml:space="preserve">Y.-C. Wang, M.-W. Shen, S.-M. Liao, Microstructural effects on the Poisson’s ratio of star-shaped two-dimensional systems. Phys. Status Solidi B </w:t>
      </w:r>
      <w:r w:rsidRPr="00464EFC">
        <w:rPr>
          <w:b/>
        </w:rPr>
        <w:t>254</w:t>
      </w:r>
      <w:r w:rsidRPr="00464EFC">
        <w:t xml:space="preserve">(12), 1770264 (2017). </w:t>
      </w:r>
      <w:hyperlink r:id="rId35" w:history="1">
        <w:r w:rsidR="00D15D14" w:rsidRPr="009931FB">
          <w:rPr>
            <w:rStyle w:val="af3"/>
          </w:rPr>
          <w:t>https://doi.org/10.1002/pssb.201770264</w:t>
        </w:r>
      </w:hyperlink>
      <w:r w:rsidR="00D15D14">
        <w:rPr>
          <w:rFonts w:hint="eastAsia"/>
        </w:rPr>
        <w:t xml:space="preserve"> </w:t>
      </w:r>
    </w:p>
    <w:p w14:paraId="43D2C126" w14:textId="11884787" w:rsidR="00DF4A8C" w:rsidRPr="00464EFC" w:rsidRDefault="00DF4A8C" w:rsidP="00464EFC">
      <w:pPr>
        <w:pStyle w:val="2"/>
        <w:numPr>
          <w:ilvl w:val="0"/>
          <w:numId w:val="8"/>
        </w:numPr>
        <w:spacing w:beforeLines="50" w:before="156" w:afterLines="50" w:after="156" w:line="240" w:lineRule="auto"/>
      </w:pPr>
      <w:r w:rsidRPr="00464EFC">
        <w:t xml:space="preserve">R. Zhang, M. Hummelgård, J. Örtegren, M. Olsen, H. Andersson et al., Interaction of the human body with triboelectric nanogenerators. Nano Energy </w:t>
      </w:r>
      <w:r w:rsidRPr="00464EFC">
        <w:rPr>
          <w:b/>
        </w:rPr>
        <w:t>57</w:t>
      </w:r>
      <w:r w:rsidRPr="00464EFC">
        <w:t xml:space="preserve">, 279–292 (2019). </w:t>
      </w:r>
      <w:hyperlink r:id="rId36" w:history="1">
        <w:r w:rsidR="00D15D14" w:rsidRPr="009931FB">
          <w:rPr>
            <w:rStyle w:val="af3"/>
          </w:rPr>
          <w:t>https://doi.org/10.1016/j.nanoen.2018.12.059</w:t>
        </w:r>
      </w:hyperlink>
      <w:r w:rsidR="00D15D14">
        <w:rPr>
          <w:rFonts w:hint="eastAsia"/>
        </w:rPr>
        <w:t xml:space="preserve"> </w:t>
      </w:r>
    </w:p>
    <w:sectPr w:rsidR="00DF4A8C" w:rsidRPr="00464EFC">
      <w:headerReference w:type="even" r:id="rId37"/>
      <w:headerReference w:type="default" r:id="rId38"/>
      <w:footerReference w:type="even" r:id="rId39"/>
      <w:footerReference w:type="default" r:id="rId40"/>
      <w:headerReference w:type="first" r:id="rId41"/>
      <w:footerReference w:type="first" r:id="rId4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DCFB4" w14:textId="77777777" w:rsidR="00C32520" w:rsidRDefault="00C32520">
      <w:r>
        <w:separator/>
      </w:r>
    </w:p>
  </w:endnote>
  <w:endnote w:type="continuationSeparator" w:id="0">
    <w:p w14:paraId="5A14C381" w14:textId="77777777" w:rsidR="00C32520" w:rsidRDefault="00C32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微软雅黑">
    <w:panose1 w:val="020B0503020204020204"/>
    <w:charset w:val="86"/>
    <w:family w:val="swiss"/>
    <w:pitch w:val="variable"/>
    <w:sig w:usb0="80000287" w:usb1="2ACF3C50" w:usb2="00000016" w:usb3="00000000" w:csb0="0004001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0BFBB" w14:textId="77777777" w:rsidR="004C2FB5" w:rsidRDefault="004C2FB5" w:rsidP="004C2FB5">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A6785" w14:textId="75D54A31" w:rsidR="00B623EA" w:rsidRPr="004C2FB5" w:rsidRDefault="004C2FB5" w:rsidP="004C2FB5">
    <w:pPr>
      <w:pStyle w:val="a8"/>
      <w:rPr>
        <w:rFonts w:hint="eastAsia"/>
      </w:rPr>
    </w:pPr>
    <w:r w:rsidRPr="004C2FB5">
      <w:rPr>
        <w:rFonts w:hint="eastAsia"/>
      </w:rPr>
      <w:t>S</w:t>
    </w:r>
    <w:sdt>
      <w:sdtPr>
        <w:id w:val="375986579"/>
        <w:docPartObj>
          <w:docPartGallery w:val="Page Numbers (Bottom of Page)"/>
          <w:docPartUnique/>
        </w:docPartObj>
      </w:sdtPr>
      <w:sdtContent>
        <w:r w:rsidRPr="004C2FB5">
          <w:fldChar w:fldCharType="begin"/>
        </w:r>
        <w:r w:rsidRPr="004C2FB5">
          <w:instrText>PAGE   \* MERGEFORMAT</w:instrText>
        </w:r>
        <w:r w:rsidRPr="004C2FB5">
          <w:fldChar w:fldCharType="separate"/>
        </w:r>
        <w:r w:rsidRPr="004C2FB5">
          <w:rPr>
            <w:lang w:val="zh-CN"/>
          </w:rPr>
          <w:t>2</w:t>
        </w:r>
        <w:r w:rsidRPr="004C2FB5">
          <w:fldChar w:fldCharType="end"/>
        </w:r>
        <w:r w:rsidRPr="004C2FB5">
          <w:rPr>
            <w:rFonts w:hint="eastAsia"/>
          </w:rPr>
          <w:t>/S14</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AE3AF" w14:textId="77777777" w:rsidR="004C2FB5" w:rsidRDefault="004C2FB5" w:rsidP="004C2FB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D33EA" w14:textId="77777777" w:rsidR="00C32520" w:rsidRDefault="00C32520">
      <w:r>
        <w:separator/>
      </w:r>
    </w:p>
  </w:footnote>
  <w:footnote w:type="continuationSeparator" w:id="0">
    <w:p w14:paraId="01349C6A" w14:textId="77777777" w:rsidR="00C32520" w:rsidRDefault="00C325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4304C" w14:textId="77777777" w:rsidR="004C2FB5" w:rsidRDefault="004C2FB5">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C3531" w14:textId="773B0B0F" w:rsidR="004C2FB5" w:rsidRDefault="004C2FB5" w:rsidP="004C2FB5">
    <w:pPr>
      <w:jc w:val="center"/>
      <w:rPr>
        <w:rFonts w:hint="eastAsia"/>
      </w:rPr>
    </w:pPr>
    <w:hyperlink r:id="rId1" w:history="1">
      <w:r w:rsidRPr="004C2FB5">
        <w:rPr>
          <w:rStyle w:val="af3"/>
          <w:rFonts w:hint="eastAsia"/>
        </w:rPr>
        <w:t>Nano-Micro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63122" w14:textId="77777777" w:rsidR="004C2FB5" w:rsidRDefault="004C2FB5">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0000A990"/>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15:restartNumberingAfterBreak="0">
    <w:nsid w:val="0000A991"/>
    <w:multiLevelType w:val="multilevel"/>
    <w:tmpl w:val="0000A991"/>
    <w:lvl w:ilvl="0">
      <w:numFmt w:val="bullet"/>
      <w:suff w:val="space"/>
      <w:lvlText w:val="•"/>
      <w:lvlJc w:val="left"/>
      <w:pPr>
        <w:ind w:left="0" w:firstLine="567"/>
      </w:pPr>
      <w:rPr>
        <w:rFonts w:ascii="微软雅黑" w:eastAsia="微软雅黑" w:hAnsi="微软雅黑" w:hint="eastAsia"/>
        <w:sz w:val="28"/>
      </w:rPr>
    </w:lvl>
    <w:lvl w:ilvl="1">
      <w:numFmt w:val="bullet"/>
      <w:suff w:val="space"/>
      <w:lvlText w:val=""/>
      <w:lvlJc w:val="left"/>
      <w:pPr>
        <w:ind w:left="567" w:firstLine="567"/>
      </w:pPr>
      <w:rPr>
        <w:rFonts w:ascii="Wingdings" w:hAnsi="Wingdings" w:hint="default"/>
        <w:sz w:val="28"/>
      </w:rPr>
    </w:lvl>
    <w:lvl w:ilvl="2">
      <w:numFmt w:val="bullet"/>
      <w:suff w:val="space"/>
      <w:lvlText w:val=""/>
      <w:lvlJc w:val="left"/>
      <w:pPr>
        <w:ind w:left="1134" w:firstLine="567"/>
      </w:pPr>
      <w:rPr>
        <w:rFonts w:ascii="Wingdings" w:hAnsi="Wingdings" w:hint="default"/>
        <w:sz w:val="28"/>
      </w:rPr>
    </w:lvl>
    <w:lvl w:ilvl="3">
      <w:numFmt w:val="bullet"/>
      <w:suff w:val="space"/>
      <w:lvlText w:val="•"/>
      <w:lvlJc w:val="left"/>
      <w:pPr>
        <w:ind w:left="1701" w:firstLine="567"/>
      </w:pPr>
      <w:rPr>
        <w:rFonts w:ascii="微软雅黑" w:eastAsia="微软雅黑" w:hAnsi="微软雅黑" w:hint="eastAsia"/>
        <w:sz w:val="28"/>
      </w:rPr>
    </w:lvl>
    <w:lvl w:ilvl="4">
      <w:numFmt w:val="bullet"/>
      <w:suff w:val="space"/>
      <w:lvlText w:val="•"/>
      <w:lvlJc w:val="left"/>
      <w:pPr>
        <w:ind w:left="2268" w:firstLine="567"/>
      </w:pPr>
      <w:rPr>
        <w:rFonts w:ascii="微软雅黑" w:eastAsia="微软雅黑" w:hAnsi="微软雅黑" w:hint="eastAsia"/>
        <w:sz w:val="28"/>
      </w:rPr>
    </w:lvl>
    <w:lvl w:ilvl="5">
      <w:numFmt w:val="bullet"/>
      <w:suff w:val="space"/>
      <w:lvlText w:val="•"/>
      <w:lvlJc w:val="left"/>
      <w:pPr>
        <w:ind w:left="2835" w:firstLine="567"/>
      </w:pPr>
      <w:rPr>
        <w:rFonts w:hint="eastAsia"/>
        <w:sz w:val="28"/>
      </w:rPr>
    </w:lvl>
    <w:lvl w:ilvl="6">
      <w:numFmt w:val="bullet"/>
      <w:suff w:val="space"/>
      <w:lvlText w:val="•"/>
      <w:lvlJc w:val="left"/>
      <w:pPr>
        <w:ind w:left="3402" w:firstLine="567"/>
      </w:pPr>
      <w:rPr>
        <w:rFonts w:hint="eastAsia"/>
        <w:sz w:val="28"/>
      </w:rPr>
    </w:lvl>
    <w:lvl w:ilvl="7">
      <w:numFmt w:val="bullet"/>
      <w:suff w:val="space"/>
      <w:lvlText w:val="•"/>
      <w:lvlJc w:val="left"/>
      <w:pPr>
        <w:ind w:left="3969" w:firstLine="567"/>
      </w:pPr>
      <w:rPr>
        <w:rFonts w:hint="eastAsia"/>
        <w:sz w:val="28"/>
      </w:rPr>
    </w:lvl>
    <w:lvl w:ilvl="8">
      <w:numFmt w:val="bullet"/>
      <w:suff w:val="space"/>
      <w:lvlText w:val="•"/>
      <w:lvlJc w:val="left"/>
      <w:pPr>
        <w:ind w:left="4536" w:firstLine="567"/>
      </w:pPr>
      <w:rPr>
        <w:rFonts w:hint="eastAsia"/>
        <w:sz w:val="28"/>
      </w:rPr>
    </w:lvl>
  </w:abstractNum>
  <w:abstractNum w:abstractNumId="2" w15:restartNumberingAfterBreak="0">
    <w:nsid w:val="048B68D6"/>
    <w:multiLevelType w:val="hybridMultilevel"/>
    <w:tmpl w:val="0900882C"/>
    <w:lvl w:ilvl="0" w:tplc="802EC3C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0AE4097D"/>
    <w:multiLevelType w:val="multilevel"/>
    <w:tmpl w:val="4DE0E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48464C"/>
    <w:multiLevelType w:val="multilevel"/>
    <w:tmpl w:val="11869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86347E"/>
    <w:multiLevelType w:val="multilevel"/>
    <w:tmpl w:val="1F02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C24E89"/>
    <w:multiLevelType w:val="hybridMultilevel"/>
    <w:tmpl w:val="6B66C66C"/>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45AB64EF"/>
    <w:multiLevelType w:val="multilevel"/>
    <w:tmpl w:val="D1A42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6F4396"/>
    <w:multiLevelType w:val="multilevel"/>
    <w:tmpl w:val="37AAC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00411528">
    <w:abstractNumId w:val="7"/>
  </w:num>
  <w:num w:numId="2" w16cid:durableId="1501964324">
    <w:abstractNumId w:val="5"/>
  </w:num>
  <w:num w:numId="3" w16cid:durableId="121923130">
    <w:abstractNumId w:val="4"/>
  </w:num>
  <w:num w:numId="4" w16cid:durableId="1808083503">
    <w:abstractNumId w:val="3"/>
  </w:num>
  <w:num w:numId="5" w16cid:durableId="113064179">
    <w:abstractNumId w:val="8"/>
  </w:num>
  <w:num w:numId="6" w16cid:durableId="1184245830">
    <w:abstractNumId w:val="0"/>
  </w:num>
  <w:num w:numId="7" w16cid:durableId="1156264965">
    <w:abstractNumId w:val="1"/>
  </w:num>
  <w:num w:numId="8" w16cid:durableId="1643315367">
    <w:abstractNumId w:val="6"/>
  </w:num>
  <w:num w:numId="9" w16cid:durableId="3088221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HorizontalSpacing w:val="105"/>
  <w:drawingGridVerticalSpacing w:val="156"/>
  <w:noPunctuationKerning/>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7I0sDAytjQwNzA2MTBQ0lEKTi0uzszPAykwrAUAMnAhNSwAAAA="/>
    <w:docVar w:name="commondata" w:val="eyJoZGlkIjoiYzNhYzUyMTg0MjFjY2FjM2QyMzJlOTM0YjNjZmVkYTUifQ=="/>
  </w:docVars>
  <w:rsids>
    <w:rsidRoot w:val="00172A27"/>
    <w:rsid w:val="00006CFA"/>
    <w:rsid w:val="00025D38"/>
    <w:rsid w:val="0004089C"/>
    <w:rsid w:val="00085B4C"/>
    <w:rsid w:val="001002CE"/>
    <w:rsid w:val="001217D6"/>
    <w:rsid w:val="00172A27"/>
    <w:rsid w:val="00191332"/>
    <w:rsid w:val="00191EC5"/>
    <w:rsid w:val="001A2CCB"/>
    <w:rsid w:val="001B68D4"/>
    <w:rsid w:val="001C5954"/>
    <w:rsid w:val="001C6A07"/>
    <w:rsid w:val="001D7FE1"/>
    <w:rsid w:val="001E6CA0"/>
    <w:rsid w:val="002059BF"/>
    <w:rsid w:val="00213EC9"/>
    <w:rsid w:val="00227F63"/>
    <w:rsid w:val="0026183A"/>
    <w:rsid w:val="00291A16"/>
    <w:rsid w:val="00291C72"/>
    <w:rsid w:val="002A5E82"/>
    <w:rsid w:val="002A7CFD"/>
    <w:rsid w:val="002D33D2"/>
    <w:rsid w:val="002D5146"/>
    <w:rsid w:val="002F4744"/>
    <w:rsid w:val="0030381F"/>
    <w:rsid w:val="003145B1"/>
    <w:rsid w:val="003377CE"/>
    <w:rsid w:val="0036088F"/>
    <w:rsid w:val="0037272C"/>
    <w:rsid w:val="0038646E"/>
    <w:rsid w:val="003936CC"/>
    <w:rsid w:val="003A5284"/>
    <w:rsid w:val="003A5DB8"/>
    <w:rsid w:val="0041120F"/>
    <w:rsid w:val="00430595"/>
    <w:rsid w:val="00432D95"/>
    <w:rsid w:val="0044039F"/>
    <w:rsid w:val="00460FC2"/>
    <w:rsid w:val="00464EFC"/>
    <w:rsid w:val="00466D9D"/>
    <w:rsid w:val="00470B64"/>
    <w:rsid w:val="00476E0B"/>
    <w:rsid w:val="00484965"/>
    <w:rsid w:val="00490518"/>
    <w:rsid w:val="004A11AB"/>
    <w:rsid w:val="004C2FB5"/>
    <w:rsid w:val="004D553B"/>
    <w:rsid w:val="004E75A0"/>
    <w:rsid w:val="005048C8"/>
    <w:rsid w:val="0051631A"/>
    <w:rsid w:val="005222AE"/>
    <w:rsid w:val="00535347"/>
    <w:rsid w:val="00550C8E"/>
    <w:rsid w:val="005668D0"/>
    <w:rsid w:val="005807CE"/>
    <w:rsid w:val="00581B55"/>
    <w:rsid w:val="005A16E2"/>
    <w:rsid w:val="005B026B"/>
    <w:rsid w:val="005D45DA"/>
    <w:rsid w:val="005F1764"/>
    <w:rsid w:val="00621E0D"/>
    <w:rsid w:val="0064013B"/>
    <w:rsid w:val="00670FBC"/>
    <w:rsid w:val="006B166D"/>
    <w:rsid w:val="006D3129"/>
    <w:rsid w:val="006D3BC9"/>
    <w:rsid w:val="006E4038"/>
    <w:rsid w:val="007158F8"/>
    <w:rsid w:val="0072122D"/>
    <w:rsid w:val="007318B0"/>
    <w:rsid w:val="007323CA"/>
    <w:rsid w:val="00770AE5"/>
    <w:rsid w:val="007841F8"/>
    <w:rsid w:val="0079619F"/>
    <w:rsid w:val="007C205D"/>
    <w:rsid w:val="007C2FB1"/>
    <w:rsid w:val="00804E2E"/>
    <w:rsid w:val="00831C7A"/>
    <w:rsid w:val="00841B89"/>
    <w:rsid w:val="00862AA2"/>
    <w:rsid w:val="00880411"/>
    <w:rsid w:val="008A5AB6"/>
    <w:rsid w:val="008A7D00"/>
    <w:rsid w:val="009162A2"/>
    <w:rsid w:val="0092039A"/>
    <w:rsid w:val="00925BFC"/>
    <w:rsid w:val="009365BC"/>
    <w:rsid w:val="00943535"/>
    <w:rsid w:val="00945EFD"/>
    <w:rsid w:val="00974608"/>
    <w:rsid w:val="009B5819"/>
    <w:rsid w:val="009B67A7"/>
    <w:rsid w:val="009F4947"/>
    <w:rsid w:val="00A12A67"/>
    <w:rsid w:val="00A26389"/>
    <w:rsid w:val="00A41700"/>
    <w:rsid w:val="00A4391F"/>
    <w:rsid w:val="00A46183"/>
    <w:rsid w:val="00A65E46"/>
    <w:rsid w:val="00A8566F"/>
    <w:rsid w:val="00AA7A82"/>
    <w:rsid w:val="00AE00F8"/>
    <w:rsid w:val="00B048CF"/>
    <w:rsid w:val="00B074E9"/>
    <w:rsid w:val="00B623EA"/>
    <w:rsid w:val="00B67294"/>
    <w:rsid w:val="00B70714"/>
    <w:rsid w:val="00B7443B"/>
    <w:rsid w:val="00B97CC5"/>
    <w:rsid w:val="00BB50AD"/>
    <w:rsid w:val="00BC483E"/>
    <w:rsid w:val="00BD18F1"/>
    <w:rsid w:val="00BE1144"/>
    <w:rsid w:val="00BF0757"/>
    <w:rsid w:val="00C151A7"/>
    <w:rsid w:val="00C32520"/>
    <w:rsid w:val="00C34756"/>
    <w:rsid w:val="00C51DCD"/>
    <w:rsid w:val="00CB4C63"/>
    <w:rsid w:val="00CD592A"/>
    <w:rsid w:val="00CF0479"/>
    <w:rsid w:val="00D15D14"/>
    <w:rsid w:val="00D1779C"/>
    <w:rsid w:val="00D24084"/>
    <w:rsid w:val="00D25721"/>
    <w:rsid w:val="00D30C55"/>
    <w:rsid w:val="00D41387"/>
    <w:rsid w:val="00D62EEC"/>
    <w:rsid w:val="00D63F9E"/>
    <w:rsid w:val="00D724C9"/>
    <w:rsid w:val="00D76BC8"/>
    <w:rsid w:val="00D80961"/>
    <w:rsid w:val="00DB1A86"/>
    <w:rsid w:val="00DB7CCE"/>
    <w:rsid w:val="00DC10DA"/>
    <w:rsid w:val="00DC5759"/>
    <w:rsid w:val="00DC687B"/>
    <w:rsid w:val="00DF4A8C"/>
    <w:rsid w:val="00DF51D6"/>
    <w:rsid w:val="00E05070"/>
    <w:rsid w:val="00E2389F"/>
    <w:rsid w:val="00E643AD"/>
    <w:rsid w:val="00EA105E"/>
    <w:rsid w:val="00EA5083"/>
    <w:rsid w:val="00EA7D84"/>
    <w:rsid w:val="00EB5703"/>
    <w:rsid w:val="00EB574A"/>
    <w:rsid w:val="00EC12E9"/>
    <w:rsid w:val="00ED3AF5"/>
    <w:rsid w:val="00ED47E8"/>
    <w:rsid w:val="00EF1A32"/>
    <w:rsid w:val="00F11954"/>
    <w:rsid w:val="00F12860"/>
    <w:rsid w:val="00F14C54"/>
    <w:rsid w:val="00F27C4F"/>
    <w:rsid w:val="00F35898"/>
    <w:rsid w:val="00F44D0C"/>
    <w:rsid w:val="00F73855"/>
    <w:rsid w:val="00F73A0D"/>
    <w:rsid w:val="00F85FAB"/>
    <w:rsid w:val="00F9217D"/>
    <w:rsid w:val="00F95591"/>
    <w:rsid w:val="00FB313D"/>
    <w:rsid w:val="00FB39C7"/>
    <w:rsid w:val="00FD7DC9"/>
    <w:rsid w:val="00FF77AA"/>
    <w:rsid w:val="01CC5EE4"/>
    <w:rsid w:val="0270686F"/>
    <w:rsid w:val="02E35F2E"/>
    <w:rsid w:val="0449381C"/>
    <w:rsid w:val="047F596D"/>
    <w:rsid w:val="049A4077"/>
    <w:rsid w:val="065B15E4"/>
    <w:rsid w:val="0809043D"/>
    <w:rsid w:val="08A6123D"/>
    <w:rsid w:val="099D0C3D"/>
    <w:rsid w:val="0C000669"/>
    <w:rsid w:val="0C637445"/>
    <w:rsid w:val="0CCD6369"/>
    <w:rsid w:val="0E651252"/>
    <w:rsid w:val="0E6B152D"/>
    <w:rsid w:val="0E770F85"/>
    <w:rsid w:val="104A6951"/>
    <w:rsid w:val="11F76665"/>
    <w:rsid w:val="14241DA7"/>
    <w:rsid w:val="162E0AC3"/>
    <w:rsid w:val="184B22A6"/>
    <w:rsid w:val="1B94005E"/>
    <w:rsid w:val="1D997377"/>
    <w:rsid w:val="1DD45AAC"/>
    <w:rsid w:val="1E466C79"/>
    <w:rsid w:val="1E51484A"/>
    <w:rsid w:val="1E5E181A"/>
    <w:rsid w:val="203744E4"/>
    <w:rsid w:val="23F83008"/>
    <w:rsid w:val="274A3283"/>
    <w:rsid w:val="27BA21B7"/>
    <w:rsid w:val="27E2170E"/>
    <w:rsid w:val="28A349F9"/>
    <w:rsid w:val="28F23FF7"/>
    <w:rsid w:val="2B266947"/>
    <w:rsid w:val="2CC94C4A"/>
    <w:rsid w:val="2F0106CB"/>
    <w:rsid w:val="304233F1"/>
    <w:rsid w:val="326F3B9E"/>
    <w:rsid w:val="32952690"/>
    <w:rsid w:val="36154A5C"/>
    <w:rsid w:val="36A62CC2"/>
    <w:rsid w:val="3AD3227A"/>
    <w:rsid w:val="3B4F0A10"/>
    <w:rsid w:val="3C631823"/>
    <w:rsid w:val="3C9F32D2"/>
    <w:rsid w:val="3E0B6BFD"/>
    <w:rsid w:val="3EFB0C93"/>
    <w:rsid w:val="3F4F0FDF"/>
    <w:rsid w:val="3F544847"/>
    <w:rsid w:val="40210ECF"/>
    <w:rsid w:val="40A8309D"/>
    <w:rsid w:val="428B4A24"/>
    <w:rsid w:val="42E066DC"/>
    <w:rsid w:val="45DE30BD"/>
    <w:rsid w:val="46851425"/>
    <w:rsid w:val="46F24A5E"/>
    <w:rsid w:val="4A4A0D21"/>
    <w:rsid w:val="4F31425D"/>
    <w:rsid w:val="5003209D"/>
    <w:rsid w:val="55C663D2"/>
    <w:rsid w:val="5BA85997"/>
    <w:rsid w:val="5BE3049E"/>
    <w:rsid w:val="5FDD00CC"/>
    <w:rsid w:val="60FA6BA5"/>
    <w:rsid w:val="64AF414A"/>
    <w:rsid w:val="654F3237"/>
    <w:rsid w:val="66171DD8"/>
    <w:rsid w:val="667411A7"/>
    <w:rsid w:val="66DB1051"/>
    <w:rsid w:val="676236F6"/>
    <w:rsid w:val="695D23C7"/>
    <w:rsid w:val="69E76134"/>
    <w:rsid w:val="6FC71573"/>
    <w:rsid w:val="7104581E"/>
    <w:rsid w:val="71276077"/>
    <w:rsid w:val="71A65845"/>
    <w:rsid w:val="73382841"/>
    <w:rsid w:val="738B0F6E"/>
    <w:rsid w:val="73F76F74"/>
    <w:rsid w:val="75A86778"/>
    <w:rsid w:val="77F43EF6"/>
    <w:rsid w:val="7A6D7F90"/>
    <w:rsid w:val="7B804F2C"/>
    <w:rsid w:val="7FD85E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68BED5"/>
  <w15:docId w15:val="{2F24DC65-66E2-4360-A2C4-0148309FE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uiPriority="99" w:qFormat="1"/>
    <w:lsdException w:name="caption" w:semiHidden="1" w:unhideWhenUsed="1" w:qFormat="1"/>
    <w:lsdException w:name="annotation reference" w:qFormat="1"/>
    <w:lsdException w:name="line number" w:qFormat="1"/>
    <w:lsdException w:name="Title" w:qFormat="1"/>
    <w:lsdException w:name="Default Paragraph Font" w:uiPriority="1" w:unhideWhenUsed="1"/>
    <w:lsdException w:name="Body Text" w:qFormat="1"/>
    <w:lsdException w:name="Subtitle" w:qFormat="1"/>
    <w:lsdException w:name="Hyperlink" w:uiPriority="99" w:unhideWhenUsed="1" w:qFormat="1"/>
    <w:lsdException w:name="FollowedHyperlink"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rsid w:val="00DF51D6"/>
    <w:pPr>
      <w:widowControl w:val="0"/>
      <w:jc w:val="both"/>
    </w:pPr>
    <w:rPr>
      <w:rFonts w:eastAsiaTheme="minorEastAsia"/>
      <w:kern w:val="2"/>
      <w:sz w:val="24"/>
      <w:szCs w:val="24"/>
    </w:rPr>
  </w:style>
  <w:style w:type="paragraph" w:styleId="3">
    <w:name w:val="heading 3"/>
    <w:basedOn w:val="a"/>
    <w:next w:val="a0"/>
    <w:link w:val="30"/>
    <w:uiPriority w:val="9"/>
    <w:unhideWhenUsed/>
    <w:qFormat/>
    <w:rsid w:val="0092039A"/>
    <w:pPr>
      <w:keepNext/>
      <w:keepLines/>
      <w:widowControl/>
      <w:spacing w:before="200" w:line="360" w:lineRule="auto"/>
      <w:jc w:val="left"/>
      <w:outlineLvl w:val="2"/>
    </w:pPr>
    <w:rPr>
      <w:rFonts w:asciiTheme="majorHAnsi" w:eastAsia="黑体" w:hAnsiTheme="majorHAnsi" w:cstheme="majorBidi"/>
      <w:b/>
      <w:bCs/>
      <w:kern w:val="0"/>
      <w:sz w:val="26"/>
      <w:szCs w:val="28"/>
      <w:lang w:eastAsia="en-US"/>
    </w:rPr>
  </w:style>
  <w:style w:type="paragraph" w:styleId="4">
    <w:name w:val="heading 4"/>
    <w:basedOn w:val="a"/>
    <w:next w:val="a0"/>
    <w:link w:val="40"/>
    <w:uiPriority w:val="9"/>
    <w:unhideWhenUsed/>
    <w:qFormat/>
    <w:rsid w:val="0092039A"/>
    <w:pPr>
      <w:keepNext/>
      <w:keepLines/>
      <w:widowControl/>
      <w:spacing w:before="200" w:line="360" w:lineRule="auto"/>
      <w:jc w:val="left"/>
      <w:outlineLvl w:val="3"/>
    </w:pPr>
    <w:rPr>
      <w:rFonts w:asciiTheme="majorHAnsi" w:eastAsia="黑体" w:hAnsiTheme="majorHAnsi" w:cstheme="majorBidi"/>
      <w:bCs/>
      <w:kern w:val="0"/>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
    <w:link w:val="a5"/>
    <w:autoRedefine/>
    <w:qFormat/>
    <w:pPr>
      <w:jc w:val="left"/>
    </w:pPr>
  </w:style>
  <w:style w:type="paragraph" w:styleId="a6">
    <w:name w:val="Balloon Text"/>
    <w:basedOn w:val="a"/>
    <w:link w:val="a7"/>
    <w:autoRedefine/>
    <w:qFormat/>
    <w:rPr>
      <w:sz w:val="18"/>
      <w:szCs w:val="18"/>
    </w:rPr>
  </w:style>
  <w:style w:type="paragraph" w:styleId="a8">
    <w:name w:val="footer"/>
    <w:basedOn w:val="a"/>
    <w:link w:val="a9"/>
    <w:autoRedefine/>
    <w:uiPriority w:val="99"/>
    <w:qFormat/>
    <w:rsid w:val="004C2FB5"/>
    <w:pPr>
      <w:tabs>
        <w:tab w:val="center" w:pos="4153"/>
        <w:tab w:val="right" w:pos="8306"/>
      </w:tabs>
      <w:snapToGrid w:val="0"/>
      <w:jc w:val="center"/>
    </w:pPr>
  </w:style>
  <w:style w:type="paragraph" w:styleId="aa">
    <w:name w:val="header"/>
    <w:basedOn w:val="a"/>
    <w:link w:val="ab"/>
    <w:autoRedefine/>
    <w:qFormat/>
    <w:pPr>
      <w:pBdr>
        <w:bottom w:val="single" w:sz="6" w:space="1" w:color="auto"/>
      </w:pBdr>
      <w:tabs>
        <w:tab w:val="center" w:pos="4153"/>
        <w:tab w:val="right" w:pos="8306"/>
      </w:tabs>
      <w:snapToGrid w:val="0"/>
    </w:pPr>
    <w:rPr>
      <w:sz w:val="18"/>
      <w:szCs w:val="18"/>
    </w:rPr>
  </w:style>
  <w:style w:type="paragraph" w:styleId="ac">
    <w:name w:val="Normal (Web)"/>
    <w:basedOn w:val="a"/>
    <w:pPr>
      <w:spacing w:beforeAutospacing="1" w:afterAutospacing="1"/>
      <w:jc w:val="left"/>
    </w:pPr>
    <w:rPr>
      <w:kern w:val="0"/>
    </w:rPr>
  </w:style>
  <w:style w:type="paragraph" w:styleId="ad">
    <w:name w:val="annotation subject"/>
    <w:basedOn w:val="a4"/>
    <w:next w:val="a4"/>
    <w:link w:val="ae"/>
    <w:autoRedefine/>
    <w:qFormat/>
    <w:rPr>
      <w:b/>
      <w:bCs/>
    </w:rPr>
  </w:style>
  <w:style w:type="table" w:styleId="af">
    <w:name w:val="Table Grid"/>
    <w:basedOn w:val="a2"/>
    <w:autoRedefine/>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basedOn w:val="a1"/>
    <w:uiPriority w:val="22"/>
    <w:qFormat/>
    <w:rPr>
      <w:b/>
    </w:rPr>
  </w:style>
  <w:style w:type="character" w:styleId="af1">
    <w:name w:val="FollowedHyperlink"/>
    <w:basedOn w:val="a1"/>
    <w:autoRedefine/>
    <w:qFormat/>
    <w:rPr>
      <w:color w:val="96607D"/>
      <w:u w:val="single"/>
    </w:rPr>
  </w:style>
  <w:style w:type="character" w:styleId="af2">
    <w:name w:val="line number"/>
    <w:basedOn w:val="a1"/>
    <w:autoRedefine/>
    <w:qFormat/>
  </w:style>
  <w:style w:type="character" w:styleId="af3">
    <w:name w:val="Hyperlink"/>
    <w:basedOn w:val="a1"/>
    <w:autoRedefine/>
    <w:uiPriority w:val="99"/>
    <w:unhideWhenUsed/>
    <w:qFormat/>
    <w:rPr>
      <w:color w:val="0026E5" w:themeColor="hyperlink"/>
      <w:u w:val="single"/>
    </w:rPr>
  </w:style>
  <w:style w:type="character" w:styleId="af4">
    <w:name w:val="annotation reference"/>
    <w:basedOn w:val="a1"/>
    <w:autoRedefine/>
    <w:qFormat/>
    <w:rPr>
      <w:sz w:val="21"/>
      <w:szCs w:val="21"/>
    </w:rPr>
  </w:style>
  <w:style w:type="character" w:customStyle="1" w:styleId="ab">
    <w:name w:val="页眉 字符"/>
    <w:basedOn w:val="a1"/>
    <w:link w:val="aa"/>
    <w:autoRedefine/>
    <w:qFormat/>
    <w:rPr>
      <w:rFonts w:asciiTheme="minorHAnsi" w:eastAsiaTheme="minorEastAsia" w:hAnsiTheme="minorHAnsi" w:cstheme="minorBidi"/>
      <w:kern w:val="2"/>
      <w:sz w:val="18"/>
      <w:szCs w:val="18"/>
    </w:rPr>
  </w:style>
  <w:style w:type="character" w:customStyle="1" w:styleId="a9">
    <w:name w:val="页脚 字符"/>
    <w:basedOn w:val="a1"/>
    <w:link w:val="a8"/>
    <w:autoRedefine/>
    <w:uiPriority w:val="99"/>
    <w:qFormat/>
    <w:rsid w:val="004C2FB5"/>
    <w:rPr>
      <w:rFonts w:eastAsiaTheme="minorEastAsia"/>
      <w:kern w:val="2"/>
      <w:sz w:val="24"/>
      <w:szCs w:val="24"/>
    </w:rPr>
  </w:style>
  <w:style w:type="character" w:customStyle="1" w:styleId="a5">
    <w:name w:val="批注文字 字符"/>
    <w:basedOn w:val="a1"/>
    <w:link w:val="a4"/>
    <w:autoRedefine/>
    <w:qFormat/>
    <w:rPr>
      <w:rFonts w:asciiTheme="minorHAnsi" w:eastAsiaTheme="minorEastAsia" w:hAnsiTheme="minorHAnsi" w:cstheme="minorBidi"/>
      <w:kern w:val="2"/>
      <w:sz w:val="21"/>
      <w:szCs w:val="24"/>
    </w:rPr>
  </w:style>
  <w:style w:type="character" w:customStyle="1" w:styleId="ae">
    <w:name w:val="批注主题 字符"/>
    <w:basedOn w:val="a5"/>
    <w:link w:val="ad"/>
    <w:autoRedefine/>
    <w:qFormat/>
    <w:rPr>
      <w:rFonts w:asciiTheme="minorHAnsi" w:eastAsiaTheme="minorEastAsia" w:hAnsiTheme="minorHAnsi" w:cstheme="minorBidi"/>
      <w:b/>
      <w:bCs/>
      <w:kern w:val="2"/>
      <w:sz w:val="21"/>
      <w:szCs w:val="24"/>
    </w:rPr>
  </w:style>
  <w:style w:type="character" w:customStyle="1" w:styleId="a7">
    <w:name w:val="批注框文本 字符"/>
    <w:basedOn w:val="a1"/>
    <w:link w:val="a6"/>
    <w:autoRedefine/>
    <w:qFormat/>
    <w:rPr>
      <w:rFonts w:asciiTheme="minorHAnsi" w:eastAsiaTheme="minorEastAsia" w:hAnsiTheme="minorHAnsi" w:cstheme="minorBidi"/>
      <w:kern w:val="2"/>
      <w:sz w:val="18"/>
      <w:szCs w:val="18"/>
    </w:rPr>
  </w:style>
  <w:style w:type="paragraph" w:customStyle="1" w:styleId="1">
    <w:name w:val="书目1"/>
    <w:basedOn w:val="a"/>
    <w:autoRedefine/>
    <w:qFormat/>
    <w:pPr>
      <w:tabs>
        <w:tab w:val="left" w:pos="384"/>
      </w:tabs>
      <w:ind w:left="384" w:hanging="384"/>
    </w:pPr>
  </w:style>
  <w:style w:type="character" w:customStyle="1" w:styleId="10">
    <w:name w:val="未处理的提及1"/>
    <w:basedOn w:val="a1"/>
    <w:uiPriority w:val="99"/>
    <w:semiHidden/>
    <w:unhideWhenUsed/>
    <w:rPr>
      <w:color w:val="605E5C"/>
      <w:shd w:val="clear" w:color="auto" w:fill="E1DFDD"/>
    </w:rPr>
  </w:style>
  <w:style w:type="paragraph" w:customStyle="1" w:styleId="2">
    <w:name w:val="书目2"/>
    <w:basedOn w:val="a"/>
    <w:pPr>
      <w:tabs>
        <w:tab w:val="left" w:pos="264"/>
      </w:tabs>
      <w:spacing w:line="480" w:lineRule="auto"/>
      <w:ind w:left="264" w:hanging="264"/>
    </w:pPr>
  </w:style>
  <w:style w:type="table" w:styleId="41">
    <w:name w:val="Plain Table 4"/>
    <w:basedOn w:val="a2"/>
    <w:uiPriority w:val="44"/>
    <w:rsid w:val="001002C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0">
    <w:name w:val="Plain Table 2"/>
    <w:basedOn w:val="a2"/>
    <w:uiPriority w:val="42"/>
    <w:rsid w:val="001002C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f5">
    <w:name w:val="Grid Table Light"/>
    <w:basedOn w:val="a2"/>
    <w:uiPriority w:val="40"/>
    <w:rsid w:val="001002C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30">
    <w:name w:val="标题 3 字符"/>
    <w:basedOn w:val="a1"/>
    <w:link w:val="3"/>
    <w:uiPriority w:val="9"/>
    <w:rsid w:val="0092039A"/>
    <w:rPr>
      <w:rFonts w:asciiTheme="majorHAnsi" w:eastAsia="黑体" w:hAnsiTheme="majorHAnsi" w:cstheme="majorBidi"/>
      <w:b/>
      <w:bCs/>
      <w:sz w:val="26"/>
      <w:szCs w:val="28"/>
      <w:lang w:eastAsia="en-US"/>
    </w:rPr>
  </w:style>
  <w:style w:type="character" w:customStyle="1" w:styleId="40">
    <w:name w:val="标题 4 字符"/>
    <w:basedOn w:val="a1"/>
    <w:link w:val="4"/>
    <w:uiPriority w:val="9"/>
    <w:rsid w:val="0092039A"/>
    <w:rPr>
      <w:rFonts w:asciiTheme="majorHAnsi" w:eastAsia="黑体" w:hAnsiTheme="majorHAnsi" w:cstheme="majorBidi"/>
      <w:bCs/>
      <w:sz w:val="24"/>
      <w:szCs w:val="24"/>
      <w:lang w:eastAsia="en-US"/>
    </w:rPr>
  </w:style>
  <w:style w:type="paragraph" w:styleId="a0">
    <w:name w:val="Body Text"/>
    <w:basedOn w:val="FirstParagraph"/>
    <w:link w:val="af6"/>
    <w:qFormat/>
    <w:rsid w:val="0092039A"/>
  </w:style>
  <w:style w:type="character" w:customStyle="1" w:styleId="af6">
    <w:name w:val="正文文本 字符"/>
    <w:basedOn w:val="a1"/>
    <w:link w:val="a0"/>
    <w:qFormat/>
    <w:rsid w:val="0092039A"/>
    <w:rPr>
      <w:rFonts w:ascii="Cambria Math" w:eastAsia="Cambria Math" w:hAnsi="Cambria Math" w:cstheme="minorBidi"/>
      <w:sz w:val="24"/>
      <w:szCs w:val="24"/>
    </w:rPr>
  </w:style>
  <w:style w:type="paragraph" w:customStyle="1" w:styleId="FirstParagraph">
    <w:name w:val="First Paragraph"/>
    <w:basedOn w:val="a"/>
    <w:next w:val="a0"/>
    <w:link w:val="FirstParagraph0"/>
    <w:qFormat/>
    <w:rsid w:val="0092039A"/>
    <w:pPr>
      <w:widowControl/>
      <w:spacing w:before="180" w:line="360" w:lineRule="auto"/>
      <w:ind w:firstLineChars="200" w:firstLine="480"/>
      <w:jc w:val="left"/>
    </w:pPr>
    <w:rPr>
      <w:rFonts w:ascii="Cambria Math" w:eastAsia="Cambria Math" w:hAnsi="Cambria Math" w:cstheme="minorBidi"/>
      <w:kern w:val="0"/>
    </w:rPr>
  </w:style>
  <w:style w:type="paragraph" w:customStyle="1" w:styleId="Compact">
    <w:name w:val="Compact"/>
    <w:basedOn w:val="a0"/>
    <w:qFormat/>
    <w:rsid w:val="0092039A"/>
    <w:pPr>
      <w:spacing w:before="60" w:after="60"/>
      <w:ind w:firstLineChars="0" w:firstLine="0"/>
    </w:pPr>
  </w:style>
  <w:style w:type="paragraph" w:customStyle="1" w:styleId="af7">
    <w:name w:val="公式"/>
    <w:basedOn w:val="FirstParagraph"/>
    <w:link w:val="af8"/>
    <w:qFormat/>
    <w:rsid w:val="00974608"/>
    <w:pPr>
      <w:tabs>
        <w:tab w:val="right" w:pos="9072"/>
        <w:tab w:val="center" w:pos="11907"/>
      </w:tabs>
      <w:spacing w:before="0"/>
      <w:ind w:firstLineChars="0" w:firstLine="0"/>
      <w:jc w:val="both"/>
    </w:pPr>
    <w:rPr>
      <w:rFonts w:ascii="Times New Roman" w:hAnsi="Times New Roman" w:cs="Times New Roman"/>
    </w:rPr>
  </w:style>
  <w:style w:type="character" w:customStyle="1" w:styleId="FirstParagraph0">
    <w:name w:val="First Paragraph 字符"/>
    <w:basedOn w:val="a1"/>
    <w:link w:val="FirstParagraph"/>
    <w:rsid w:val="00974608"/>
    <w:rPr>
      <w:rFonts w:ascii="Cambria Math" w:eastAsia="Cambria Math" w:hAnsi="Cambria Math" w:cstheme="minorBidi"/>
      <w:sz w:val="24"/>
      <w:szCs w:val="24"/>
    </w:rPr>
  </w:style>
  <w:style w:type="character" w:customStyle="1" w:styleId="af8">
    <w:name w:val="公式 字符"/>
    <w:basedOn w:val="FirstParagraph0"/>
    <w:link w:val="af7"/>
    <w:rsid w:val="00974608"/>
    <w:rPr>
      <w:rFonts w:ascii="Cambria Math" w:eastAsia="Cambria Math" w:hAnsi="Cambria Math" w:cstheme="minorBidi"/>
      <w:sz w:val="24"/>
      <w:szCs w:val="24"/>
    </w:rPr>
  </w:style>
  <w:style w:type="character" w:styleId="af9">
    <w:name w:val="Unresolved Mention"/>
    <w:basedOn w:val="a1"/>
    <w:uiPriority w:val="99"/>
    <w:semiHidden/>
    <w:unhideWhenUsed/>
    <w:rsid w:val="00DF4A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211382">
      <w:bodyDiv w:val="1"/>
      <w:marLeft w:val="0"/>
      <w:marRight w:val="0"/>
      <w:marTop w:val="0"/>
      <w:marBottom w:val="0"/>
      <w:divBdr>
        <w:top w:val="none" w:sz="0" w:space="0" w:color="auto"/>
        <w:left w:val="none" w:sz="0" w:space="0" w:color="auto"/>
        <w:bottom w:val="none" w:sz="0" w:space="0" w:color="auto"/>
        <w:right w:val="none" w:sz="0" w:space="0" w:color="auto"/>
      </w:divBdr>
    </w:div>
    <w:div w:id="172764046">
      <w:bodyDiv w:val="1"/>
      <w:marLeft w:val="0"/>
      <w:marRight w:val="0"/>
      <w:marTop w:val="0"/>
      <w:marBottom w:val="0"/>
      <w:divBdr>
        <w:top w:val="none" w:sz="0" w:space="0" w:color="auto"/>
        <w:left w:val="none" w:sz="0" w:space="0" w:color="auto"/>
        <w:bottom w:val="none" w:sz="0" w:space="0" w:color="auto"/>
        <w:right w:val="none" w:sz="0" w:space="0" w:color="auto"/>
      </w:divBdr>
    </w:div>
    <w:div w:id="219637973">
      <w:bodyDiv w:val="1"/>
      <w:marLeft w:val="0"/>
      <w:marRight w:val="0"/>
      <w:marTop w:val="0"/>
      <w:marBottom w:val="0"/>
      <w:divBdr>
        <w:top w:val="none" w:sz="0" w:space="0" w:color="auto"/>
        <w:left w:val="none" w:sz="0" w:space="0" w:color="auto"/>
        <w:bottom w:val="none" w:sz="0" w:space="0" w:color="auto"/>
        <w:right w:val="none" w:sz="0" w:space="0" w:color="auto"/>
      </w:divBdr>
    </w:div>
    <w:div w:id="461508148">
      <w:bodyDiv w:val="1"/>
      <w:marLeft w:val="0"/>
      <w:marRight w:val="0"/>
      <w:marTop w:val="0"/>
      <w:marBottom w:val="0"/>
      <w:divBdr>
        <w:top w:val="none" w:sz="0" w:space="0" w:color="auto"/>
        <w:left w:val="none" w:sz="0" w:space="0" w:color="auto"/>
        <w:bottom w:val="none" w:sz="0" w:space="0" w:color="auto"/>
        <w:right w:val="none" w:sz="0" w:space="0" w:color="auto"/>
      </w:divBdr>
    </w:div>
    <w:div w:id="547230141">
      <w:bodyDiv w:val="1"/>
      <w:marLeft w:val="0"/>
      <w:marRight w:val="0"/>
      <w:marTop w:val="0"/>
      <w:marBottom w:val="0"/>
      <w:divBdr>
        <w:top w:val="none" w:sz="0" w:space="0" w:color="auto"/>
        <w:left w:val="none" w:sz="0" w:space="0" w:color="auto"/>
        <w:bottom w:val="none" w:sz="0" w:space="0" w:color="auto"/>
        <w:right w:val="none" w:sz="0" w:space="0" w:color="auto"/>
      </w:divBdr>
    </w:div>
    <w:div w:id="558828274">
      <w:bodyDiv w:val="1"/>
      <w:marLeft w:val="0"/>
      <w:marRight w:val="0"/>
      <w:marTop w:val="0"/>
      <w:marBottom w:val="0"/>
      <w:divBdr>
        <w:top w:val="none" w:sz="0" w:space="0" w:color="auto"/>
        <w:left w:val="none" w:sz="0" w:space="0" w:color="auto"/>
        <w:bottom w:val="none" w:sz="0" w:space="0" w:color="auto"/>
        <w:right w:val="none" w:sz="0" w:space="0" w:color="auto"/>
      </w:divBdr>
    </w:div>
    <w:div w:id="661932896">
      <w:bodyDiv w:val="1"/>
      <w:marLeft w:val="0"/>
      <w:marRight w:val="0"/>
      <w:marTop w:val="0"/>
      <w:marBottom w:val="0"/>
      <w:divBdr>
        <w:top w:val="none" w:sz="0" w:space="0" w:color="auto"/>
        <w:left w:val="none" w:sz="0" w:space="0" w:color="auto"/>
        <w:bottom w:val="none" w:sz="0" w:space="0" w:color="auto"/>
        <w:right w:val="none" w:sz="0" w:space="0" w:color="auto"/>
      </w:divBdr>
    </w:div>
    <w:div w:id="694842765">
      <w:bodyDiv w:val="1"/>
      <w:marLeft w:val="0"/>
      <w:marRight w:val="0"/>
      <w:marTop w:val="0"/>
      <w:marBottom w:val="0"/>
      <w:divBdr>
        <w:top w:val="none" w:sz="0" w:space="0" w:color="auto"/>
        <w:left w:val="none" w:sz="0" w:space="0" w:color="auto"/>
        <w:bottom w:val="none" w:sz="0" w:space="0" w:color="auto"/>
        <w:right w:val="none" w:sz="0" w:space="0" w:color="auto"/>
      </w:divBdr>
    </w:div>
    <w:div w:id="713773012">
      <w:bodyDiv w:val="1"/>
      <w:marLeft w:val="0"/>
      <w:marRight w:val="0"/>
      <w:marTop w:val="0"/>
      <w:marBottom w:val="0"/>
      <w:divBdr>
        <w:top w:val="none" w:sz="0" w:space="0" w:color="auto"/>
        <w:left w:val="none" w:sz="0" w:space="0" w:color="auto"/>
        <w:bottom w:val="none" w:sz="0" w:space="0" w:color="auto"/>
        <w:right w:val="none" w:sz="0" w:space="0" w:color="auto"/>
      </w:divBdr>
      <w:divsChild>
        <w:div w:id="199113508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889077865">
      <w:bodyDiv w:val="1"/>
      <w:marLeft w:val="0"/>
      <w:marRight w:val="0"/>
      <w:marTop w:val="0"/>
      <w:marBottom w:val="0"/>
      <w:divBdr>
        <w:top w:val="none" w:sz="0" w:space="0" w:color="auto"/>
        <w:left w:val="none" w:sz="0" w:space="0" w:color="auto"/>
        <w:bottom w:val="none" w:sz="0" w:space="0" w:color="auto"/>
        <w:right w:val="none" w:sz="0" w:space="0" w:color="auto"/>
      </w:divBdr>
    </w:div>
    <w:div w:id="1174612327">
      <w:bodyDiv w:val="1"/>
      <w:marLeft w:val="0"/>
      <w:marRight w:val="0"/>
      <w:marTop w:val="0"/>
      <w:marBottom w:val="0"/>
      <w:divBdr>
        <w:top w:val="none" w:sz="0" w:space="0" w:color="auto"/>
        <w:left w:val="none" w:sz="0" w:space="0" w:color="auto"/>
        <w:bottom w:val="none" w:sz="0" w:space="0" w:color="auto"/>
        <w:right w:val="none" w:sz="0" w:space="0" w:color="auto"/>
      </w:divBdr>
    </w:div>
    <w:div w:id="1233005795">
      <w:bodyDiv w:val="1"/>
      <w:marLeft w:val="0"/>
      <w:marRight w:val="0"/>
      <w:marTop w:val="0"/>
      <w:marBottom w:val="0"/>
      <w:divBdr>
        <w:top w:val="none" w:sz="0" w:space="0" w:color="auto"/>
        <w:left w:val="none" w:sz="0" w:space="0" w:color="auto"/>
        <w:bottom w:val="none" w:sz="0" w:space="0" w:color="auto"/>
        <w:right w:val="none" w:sz="0" w:space="0" w:color="auto"/>
      </w:divBdr>
    </w:div>
    <w:div w:id="1402168412">
      <w:bodyDiv w:val="1"/>
      <w:marLeft w:val="0"/>
      <w:marRight w:val="0"/>
      <w:marTop w:val="0"/>
      <w:marBottom w:val="0"/>
      <w:divBdr>
        <w:top w:val="none" w:sz="0" w:space="0" w:color="auto"/>
        <w:left w:val="none" w:sz="0" w:space="0" w:color="auto"/>
        <w:bottom w:val="none" w:sz="0" w:space="0" w:color="auto"/>
        <w:right w:val="none" w:sz="0" w:space="0" w:color="auto"/>
      </w:divBdr>
    </w:div>
    <w:div w:id="1520386021">
      <w:bodyDiv w:val="1"/>
      <w:marLeft w:val="0"/>
      <w:marRight w:val="0"/>
      <w:marTop w:val="0"/>
      <w:marBottom w:val="0"/>
      <w:divBdr>
        <w:top w:val="none" w:sz="0" w:space="0" w:color="auto"/>
        <w:left w:val="none" w:sz="0" w:space="0" w:color="auto"/>
        <w:bottom w:val="none" w:sz="0" w:space="0" w:color="auto"/>
        <w:right w:val="none" w:sz="0" w:space="0" w:color="auto"/>
      </w:divBdr>
    </w:div>
    <w:div w:id="1578324150">
      <w:bodyDiv w:val="1"/>
      <w:marLeft w:val="0"/>
      <w:marRight w:val="0"/>
      <w:marTop w:val="0"/>
      <w:marBottom w:val="0"/>
      <w:divBdr>
        <w:top w:val="none" w:sz="0" w:space="0" w:color="auto"/>
        <w:left w:val="none" w:sz="0" w:space="0" w:color="auto"/>
        <w:bottom w:val="none" w:sz="0" w:space="0" w:color="auto"/>
        <w:right w:val="none" w:sz="0" w:space="0" w:color="auto"/>
      </w:divBdr>
    </w:div>
    <w:div w:id="1620644324">
      <w:bodyDiv w:val="1"/>
      <w:marLeft w:val="0"/>
      <w:marRight w:val="0"/>
      <w:marTop w:val="0"/>
      <w:marBottom w:val="0"/>
      <w:divBdr>
        <w:top w:val="none" w:sz="0" w:space="0" w:color="auto"/>
        <w:left w:val="none" w:sz="0" w:space="0" w:color="auto"/>
        <w:bottom w:val="none" w:sz="0" w:space="0" w:color="auto"/>
        <w:right w:val="none" w:sz="0" w:space="0" w:color="auto"/>
      </w:divBdr>
    </w:div>
    <w:div w:id="1638951598">
      <w:bodyDiv w:val="1"/>
      <w:marLeft w:val="0"/>
      <w:marRight w:val="0"/>
      <w:marTop w:val="0"/>
      <w:marBottom w:val="0"/>
      <w:divBdr>
        <w:top w:val="none" w:sz="0" w:space="0" w:color="auto"/>
        <w:left w:val="none" w:sz="0" w:space="0" w:color="auto"/>
        <w:bottom w:val="none" w:sz="0" w:space="0" w:color="auto"/>
        <w:right w:val="none" w:sz="0" w:space="0" w:color="auto"/>
      </w:divBdr>
    </w:div>
    <w:div w:id="1658998481">
      <w:bodyDiv w:val="1"/>
      <w:marLeft w:val="0"/>
      <w:marRight w:val="0"/>
      <w:marTop w:val="0"/>
      <w:marBottom w:val="0"/>
      <w:divBdr>
        <w:top w:val="none" w:sz="0" w:space="0" w:color="auto"/>
        <w:left w:val="none" w:sz="0" w:space="0" w:color="auto"/>
        <w:bottom w:val="none" w:sz="0" w:space="0" w:color="auto"/>
        <w:right w:val="none" w:sz="0" w:space="0" w:color="auto"/>
      </w:divBdr>
      <w:divsChild>
        <w:div w:id="214253543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729185440">
      <w:bodyDiv w:val="1"/>
      <w:marLeft w:val="0"/>
      <w:marRight w:val="0"/>
      <w:marTop w:val="0"/>
      <w:marBottom w:val="0"/>
      <w:divBdr>
        <w:top w:val="none" w:sz="0" w:space="0" w:color="auto"/>
        <w:left w:val="none" w:sz="0" w:space="0" w:color="auto"/>
        <w:bottom w:val="none" w:sz="0" w:space="0" w:color="auto"/>
        <w:right w:val="none" w:sz="0" w:space="0" w:color="auto"/>
      </w:divBdr>
    </w:div>
    <w:div w:id="1764909724">
      <w:bodyDiv w:val="1"/>
      <w:marLeft w:val="0"/>
      <w:marRight w:val="0"/>
      <w:marTop w:val="0"/>
      <w:marBottom w:val="0"/>
      <w:divBdr>
        <w:top w:val="none" w:sz="0" w:space="0" w:color="auto"/>
        <w:left w:val="none" w:sz="0" w:space="0" w:color="auto"/>
        <w:bottom w:val="none" w:sz="0" w:space="0" w:color="auto"/>
        <w:right w:val="none" w:sz="0" w:space="0" w:color="auto"/>
      </w:divBdr>
    </w:div>
    <w:div w:id="1799563837">
      <w:bodyDiv w:val="1"/>
      <w:marLeft w:val="0"/>
      <w:marRight w:val="0"/>
      <w:marTop w:val="0"/>
      <w:marBottom w:val="0"/>
      <w:divBdr>
        <w:top w:val="none" w:sz="0" w:space="0" w:color="auto"/>
        <w:left w:val="none" w:sz="0" w:space="0" w:color="auto"/>
        <w:bottom w:val="none" w:sz="0" w:space="0" w:color="auto"/>
        <w:right w:val="none" w:sz="0" w:space="0" w:color="auto"/>
      </w:divBdr>
    </w:div>
    <w:div w:id="2030325622">
      <w:bodyDiv w:val="1"/>
      <w:marLeft w:val="0"/>
      <w:marRight w:val="0"/>
      <w:marTop w:val="0"/>
      <w:marBottom w:val="0"/>
      <w:divBdr>
        <w:top w:val="none" w:sz="0" w:space="0" w:color="auto"/>
        <w:left w:val="none" w:sz="0" w:space="0" w:color="auto"/>
        <w:bottom w:val="none" w:sz="0" w:space="0" w:color="auto"/>
        <w:right w:val="none" w:sz="0" w:space="0" w:color="auto"/>
      </w:divBdr>
    </w:div>
    <w:div w:id="21471593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footer" Target="footer1.xml"/><Relationship Id="rId21" Type="http://schemas.openxmlformats.org/officeDocument/2006/relationships/image" Target="media/image10.png"/><Relationship Id="rId34" Type="http://schemas.openxmlformats.org/officeDocument/2006/relationships/hyperlink" Target="https://doi.org/10.1038/s41467-024-50978-7" TargetMode="External"/><Relationship Id="rId42"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wangxc@sust.edu.cn" TargetMode="External"/><Relationship Id="rId24" Type="http://schemas.openxmlformats.org/officeDocument/2006/relationships/image" Target="media/image13.png"/><Relationship Id="rId32" Type="http://schemas.openxmlformats.org/officeDocument/2006/relationships/hyperlink" Target="https://doi.org/10.1002/adfm.202208792"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s://doi.org/10.1016/j.nanoen.2018.12.059" TargetMode="External"/><Relationship Id="rId10" Type="http://schemas.openxmlformats.org/officeDocument/2006/relationships/hyperlink" Target="mailto:ouyangyue@sust.edu.cn" TargetMode="Externa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mailto:liuxinhua@sust.edu.cn"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yperlink" Target="https://doi.org/10.1002/pssb.201770264" TargetMode="Externa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s://doi.org/10.3390/ma16093603" TargetMode="External"/><Relationship Id="rId38"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649A90B-93B8-41F2-87D8-D9C2F8193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14</Pages>
  <Words>2674</Words>
  <Characters>17574</Characters>
  <Application>Microsoft Office Word</Application>
  <DocSecurity>0</DocSecurity>
  <Lines>254</Lines>
  <Paragraphs>51</Paragraphs>
  <ScaleCrop>false</ScaleCrop>
  <Company/>
  <LinksUpToDate>false</LinksUpToDate>
  <CharactersWithSpaces>20197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救赎</dc:creator>
  <cp:lastModifiedBy>rong he</cp:lastModifiedBy>
  <cp:revision>10</cp:revision>
  <dcterms:created xsi:type="dcterms:W3CDTF">2026-02-04T05:14:00Z</dcterms:created>
  <dcterms:modified xsi:type="dcterms:W3CDTF">2026-02-05T02:25:00Z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BEADFF587E2749D9BFFF0317B3698D56_13</vt:lpwstr>
  </property>
  <property fmtid="{D5CDD505-2E9C-101B-9397-08002B2CF9AE}" pid="4" name="ZOTERO_PREF_1">
    <vt:lpwstr>&lt;data data-version="3" zotero-version="7.0.19"&gt;&lt;session id="OltlJnZg"/&gt;&lt;style id="http://www.zotero.org/styles/nature-communications" hasBibliography="1" bibliographyStyleHasBeenSet="1"/&gt;&lt;prefs&gt;&lt;pref name="fieldType" value="Field"/&gt;&lt;pref name="automaticJo</vt:lpwstr>
  </property>
  <property fmtid="{D5CDD505-2E9C-101B-9397-08002B2CF9AE}" pid="5" name="ZOTERO_PREF_2">
    <vt:lpwstr>urnalAbbreviations" value="true"/&gt;&lt;/prefs&gt;&lt;/data&gt;</vt:lpwstr>
  </property>
</Properties>
</file>