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810" w:rsidRDefault="00E57649">
      <w:pPr>
        <w:pStyle w:val="Heading1"/>
      </w:pPr>
      <w:bookmarkStart w:id="0" w:name="_Hlk206181081"/>
      <w:bookmarkStart w:id="1" w:name="_Hlk195594808"/>
      <w:bookmarkStart w:id="2" w:name="_GoBack"/>
      <w:bookmarkEnd w:id="2"/>
      <w:r>
        <w:t>Exceeding 30% Efficiency of Red Perovskite Quantum Dot Light-Emitting Diodes via Interparticle Energy Dissipation Suppression</w:t>
      </w:r>
      <w:bookmarkEnd w:id="0"/>
    </w:p>
    <w:p w:rsidR="00B45810" w:rsidRDefault="00E57649">
      <w:pPr>
        <w:spacing w:after="312" w:line="480" w:lineRule="auto"/>
        <w:ind w:firstLineChars="0" w:firstLine="0"/>
        <w:rPr>
          <w:sz w:val="24"/>
          <w:szCs w:val="28"/>
        </w:rPr>
      </w:pPr>
      <w:r>
        <w:rPr>
          <w:sz w:val="24"/>
          <w:szCs w:val="28"/>
        </w:rPr>
        <w:t>Zhiwei Yao</w:t>
      </w:r>
      <w:r>
        <w:rPr>
          <w:rFonts w:eastAsia="SimSun"/>
          <w:sz w:val="24"/>
          <w:szCs w:val="28"/>
          <w:vertAlign w:val="superscript"/>
        </w:rPr>
        <w:t>†1,3,4</w:t>
      </w:r>
      <w:r>
        <w:rPr>
          <w:sz w:val="24"/>
          <w:szCs w:val="28"/>
        </w:rPr>
        <w:t>, Changsheng Liang</w:t>
      </w:r>
      <w:r>
        <w:rPr>
          <w:rFonts w:eastAsia="SimSun"/>
          <w:sz w:val="24"/>
          <w:szCs w:val="28"/>
          <w:vertAlign w:val="superscript"/>
        </w:rPr>
        <w:t>†1,4</w:t>
      </w:r>
      <w:r>
        <w:rPr>
          <w:sz w:val="24"/>
          <w:szCs w:val="28"/>
        </w:rPr>
        <w:t>, Chenghao Bi</w:t>
      </w:r>
      <w:r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>*, Wenyuan Zhou</w:t>
      </w:r>
      <w:r>
        <w:rPr>
          <w:rFonts w:eastAsia="SimSun"/>
          <w:sz w:val="24"/>
          <w:szCs w:val="28"/>
          <w:vertAlign w:val="superscript"/>
        </w:rPr>
        <w:t>1,4</w:t>
      </w:r>
      <w:r>
        <w:rPr>
          <w:sz w:val="24"/>
          <w:szCs w:val="28"/>
        </w:rPr>
        <w:t>, Ke Ren</w:t>
      </w:r>
      <w:r>
        <w:rPr>
          <w:rFonts w:eastAsia="SimSun"/>
          <w:sz w:val="24"/>
          <w:szCs w:val="28"/>
          <w:vertAlign w:val="superscript"/>
        </w:rPr>
        <w:t>2</w:t>
      </w:r>
      <w:r>
        <w:rPr>
          <w:sz w:val="24"/>
          <w:szCs w:val="28"/>
        </w:rPr>
        <w:t>, Ming Deng</w:t>
      </w:r>
      <w:r>
        <w:rPr>
          <w:rFonts w:eastAsia="SimSun"/>
          <w:sz w:val="24"/>
          <w:szCs w:val="28"/>
          <w:vertAlign w:val="superscript"/>
        </w:rPr>
        <w:t>1,4</w:t>
      </w:r>
      <w:r>
        <w:rPr>
          <w:sz w:val="24"/>
          <w:szCs w:val="28"/>
        </w:rPr>
        <w:t>, Shuo Ding</w:t>
      </w:r>
      <w:r>
        <w:rPr>
          <w:rFonts w:eastAsia="SimSun"/>
          <w:sz w:val="24"/>
          <w:szCs w:val="28"/>
          <w:vertAlign w:val="superscript"/>
        </w:rPr>
        <w:t>1,4</w:t>
      </w:r>
      <w:r>
        <w:rPr>
          <w:sz w:val="24"/>
          <w:szCs w:val="28"/>
        </w:rPr>
        <w:t>*, Chaoyu Xiang</w:t>
      </w:r>
      <w:r>
        <w:rPr>
          <w:rFonts w:eastAsia="SimSun"/>
          <w:sz w:val="24"/>
          <w:szCs w:val="28"/>
          <w:vertAlign w:val="superscript"/>
        </w:rPr>
        <w:t>1,3,4</w:t>
      </w:r>
      <w:r>
        <w:rPr>
          <w:sz w:val="24"/>
          <w:szCs w:val="28"/>
        </w:rPr>
        <w:t>*</w:t>
      </w:r>
    </w:p>
    <w:p w:rsidR="00B45810" w:rsidRDefault="00E57649">
      <w:pPr>
        <w:pStyle w:val="ListParagraph"/>
        <w:numPr>
          <w:ilvl w:val="0"/>
          <w:numId w:val="1"/>
        </w:numPr>
        <w:spacing w:before="0" w:afterLines="100" w:after="312" w:line="360" w:lineRule="auto"/>
        <w:ind w:left="357" w:firstLineChars="0" w:hanging="357"/>
        <w:rPr>
          <w:rFonts w:ascii="Times New Roman" w:hAnsi="Times New Roman"/>
          <w:sz w:val="24"/>
          <w:szCs w:val="28"/>
        </w:rPr>
      </w:pPr>
      <w:bookmarkStart w:id="3" w:name="OLE_LINK25"/>
      <w:r>
        <w:rPr>
          <w:rFonts w:ascii="Times New Roman" w:hAnsi="Times New Roman"/>
          <w:sz w:val="24"/>
          <w:szCs w:val="28"/>
        </w:rPr>
        <w:t>Laboratory of Advanced Nano-Optoelectronic Materials and Devices, Ningbo Institute of Materials Technology and Engineering, Chinese Academy of Science, Ningbo, Zhejiang, 315201, China.</w:t>
      </w:r>
      <w:bookmarkEnd w:id="3"/>
    </w:p>
    <w:p w:rsidR="00B45810" w:rsidRDefault="00E57649">
      <w:pPr>
        <w:pStyle w:val="ListParagraph"/>
        <w:numPr>
          <w:ilvl w:val="0"/>
          <w:numId w:val="1"/>
        </w:numPr>
        <w:spacing w:before="0" w:afterLines="100" w:after="312" w:line="360" w:lineRule="auto"/>
        <w:ind w:left="357" w:firstLineChars="0" w:hanging="357"/>
        <w:rPr>
          <w:rFonts w:ascii="Times New Roman" w:hAnsi="Times New Roman"/>
          <w:sz w:val="24"/>
        </w:rPr>
      </w:pPr>
      <w:bookmarkStart w:id="4" w:name="OLE_LINK4"/>
      <w:r>
        <w:rPr>
          <w:rFonts w:ascii="Times New Roman" w:hAnsi="Times New Roman"/>
          <w:sz w:val="24"/>
        </w:rPr>
        <w:t>College of Physics and Optoelectronic Engineering, Harbin Engineering U</w:t>
      </w:r>
      <w:r>
        <w:rPr>
          <w:rFonts w:ascii="Times New Roman" w:hAnsi="Times New Roman"/>
          <w:sz w:val="24"/>
        </w:rPr>
        <w:t>niversity, Harbin 150001, China.</w:t>
      </w:r>
      <w:bookmarkEnd w:id="4"/>
    </w:p>
    <w:p w:rsidR="00B45810" w:rsidRDefault="00E57649">
      <w:pPr>
        <w:pStyle w:val="ListParagraph"/>
        <w:numPr>
          <w:ilvl w:val="0"/>
          <w:numId w:val="1"/>
        </w:numPr>
        <w:spacing w:before="0" w:afterLines="100" w:after="312" w:line="360" w:lineRule="auto"/>
        <w:ind w:left="357" w:firstLineChars="0" w:hanging="357"/>
        <w:rPr>
          <w:rFonts w:ascii="Times New Roman" w:hAnsi="Times New Roman"/>
          <w:sz w:val="24"/>
        </w:rPr>
      </w:pPr>
      <w:bookmarkStart w:id="5" w:name="_Hlk196662178"/>
      <w:r>
        <w:rPr>
          <w:rFonts w:ascii="Times New Roman" w:hAnsi="Times New Roman"/>
          <w:sz w:val="24"/>
        </w:rPr>
        <w:t>University of Chinese Academy of Sciences, No.1 Yanqihu East Road, Huairou District, Beijing, China.</w:t>
      </w:r>
    </w:p>
    <w:p w:rsidR="00B45810" w:rsidRDefault="00E57649">
      <w:pPr>
        <w:pStyle w:val="ListParagraph"/>
        <w:numPr>
          <w:ilvl w:val="0"/>
          <w:numId w:val="1"/>
        </w:numPr>
        <w:spacing w:before="0" w:afterLines="100" w:after="312" w:line="360" w:lineRule="auto"/>
        <w:ind w:left="357" w:firstLineChars="0" w:hanging="35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Laboratory of Advanced Nano-Optoelectronic Materials and Devices, Qianwan Institute of CNITECH, Ningbo, P. R. China, Ningb</w:t>
      </w:r>
      <w:r>
        <w:rPr>
          <w:rFonts w:ascii="Times New Roman" w:hAnsi="Times New Roman"/>
          <w:sz w:val="24"/>
        </w:rPr>
        <w:t>o 315300, China.</w:t>
      </w:r>
      <w:bookmarkEnd w:id="1"/>
      <w:bookmarkEnd w:id="5"/>
    </w:p>
    <w:p w:rsidR="00B45810" w:rsidRDefault="00E57649">
      <w:pPr>
        <w:spacing w:after="312" w:line="360" w:lineRule="auto"/>
        <w:ind w:firstLineChars="0" w:firstLine="0"/>
        <w:rPr>
          <w:sz w:val="24"/>
          <w:szCs w:val="24"/>
        </w:rPr>
      </w:pPr>
      <w:r>
        <w:rPr>
          <w:sz w:val="24"/>
          <w:szCs w:val="24"/>
        </w:rPr>
        <w:t xml:space="preserve">Email: </w:t>
      </w:r>
      <w:hyperlink r:id="rId8" w:history="1">
        <w:r>
          <w:rPr>
            <w:rStyle w:val="Hyperlink"/>
            <w:sz w:val="24"/>
            <w:szCs w:val="24"/>
          </w:rPr>
          <w:t>chenghao.bi@hrbeu.edu.cn</w:t>
        </w:r>
      </w:hyperlink>
      <w:r>
        <w:rPr>
          <w:sz w:val="24"/>
          <w:szCs w:val="24"/>
        </w:rPr>
        <w:t xml:space="preserve">; </w:t>
      </w:r>
      <w:hyperlink r:id="rId9" w:history="1">
        <w:r>
          <w:rPr>
            <w:rStyle w:val="Hyperlink"/>
            <w:sz w:val="24"/>
            <w:szCs w:val="24"/>
          </w:rPr>
          <w:t>dingshuo@nimte.ac.cn</w:t>
        </w:r>
      </w:hyperlink>
      <w:r>
        <w:rPr>
          <w:sz w:val="24"/>
          <w:szCs w:val="24"/>
        </w:rPr>
        <w:t xml:space="preserve">; </w:t>
      </w:r>
      <w:hyperlink r:id="rId10" w:history="1">
        <w:r>
          <w:rPr>
            <w:rStyle w:val="Hyperlink"/>
            <w:sz w:val="24"/>
            <w:szCs w:val="24"/>
          </w:rPr>
          <w:t>xiangchaoyu@nimte.ac.cn</w:t>
        </w:r>
      </w:hyperlink>
    </w:p>
    <w:p w:rsidR="00B45810" w:rsidRDefault="00E57649">
      <w:pPr>
        <w:spacing w:after="312"/>
        <w:ind w:firstLine="420"/>
      </w:pPr>
      <w:r>
        <w:br w:type="page"/>
      </w:r>
    </w:p>
    <w:p w:rsidR="00B45810" w:rsidRDefault="00E57649">
      <w:pPr>
        <w:spacing w:after="312"/>
        <w:ind w:firstLineChars="0" w:firstLine="0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Supplementary Figur</w:t>
      </w:r>
      <w:r>
        <w:rPr>
          <w:b/>
          <w:bCs/>
          <w:i/>
          <w:iCs/>
          <w:sz w:val="24"/>
          <w:szCs w:val="24"/>
        </w:rPr>
        <w:t>es and Tables</w:t>
      </w:r>
    </w:p>
    <w:p w:rsidR="00B45810" w:rsidRDefault="00E57649">
      <w:pPr>
        <w:spacing w:after="312"/>
        <w:ind w:firstLineChars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  <w:lang w:val="en-IN" w:eastAsia="en-IN"/>
          <w14:ligatures w14:val="standardContextual"/>
        </w:rPr>
        <w:drawing>
          <wp:inline distT="0" distB="0" distL="0" distR="0">
            <wp:extent cx="3275330" cy="2351405"/>
            <wp:effectExtent l="0" t="0" r="0" b="0"/>
            <wp:docPr id="3339991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999113" name="图片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0512" cy="2362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  <w:rPr>
          <w:b w:val="0"/>
          <w:bCs/>
        </w:rPr>
      </w:pPr>
      <w:r>
        <w:t>Figure S1.</w:t>
      </w:r>
      <w:r>
        <w:rPr>
          <w:b w:val="0"/>
          <w:bCs/>
        </w:rPr>
        <w:t xml:space="preserve"> FT-IR spectra of the control and 11-PFHA-treated QDs</w:t>
      </w:r>
    </w:p>
    <w:p w:rsidR="00B45810" w:rsidRDefault="00E57649">
      <w:pPr>
        <w:pStyle w:val="NoSpacing"/>
        <w:spacing w:after="312"/>
      </w:pPr>
      <w:bookmarkStart w:id="6" w:name="_Hlk219734123"/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2873375" cy="2348865"/>
            <wp:effectExtent l="0" t="0" r="0" b="0"/>
            <wp:docPr id="127970990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709901" name="图片 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124" cy="23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r>
        <w:t xml:space="preserve">Figure S2. </w:t>
      </w:r>
      <w:r>
        <w:rPr>
          <w:b w:val="0"/>
          <w:bCs/>
        </w:rPr>
        <w:t>XPS results of the control and 11-PFHA-treated QDs</w:t>
      </w:r>
    </w:p>
    <w:p w:rsidR="00B45810" w:rsidRDefault="00E57649">
      <w:pPr>
        <w:spacing w:after="312"/>
        <w:ind w:firstLine="480"/>
        <w:jc w:val="center"/>
        <w:rPr>
          <w:rFonts w:eastAsia="SimHei"/>
          <w:sz w:val="24"/>
          <w:szCs w:val="28"/>
        </w:rPr>
      </w:pPr>
      <w:bookmarkStart w:id="7" w:name="_Hlk219734638"/>
      <w:bookmarkEnd w:id="6"/>
      <w:r>
        <w:rPr>
          <w:rFonts w:eastAsia="SimHei"/>
          <w:noProof/>
          <w:sz w:val="24"/>
          <w:szCs w:val="28"/>
          <w:lang w:val="en-IN" w:eastAsia="en-IN"/>
          <w14:ligatures w14:val="standardContextual"/>
        </w:rPr>
        <w:drawing>
          <wp:inline distT="0" distB="0" distL="0" distR="0">
            <wp:extent cx="4269740" cy="1899285"/>
            <wp:effectExtent l="0" t="0" r="0" b="0"/>
            <wp:docPr id="109911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1174" name="图片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3" r="5003"/>
                    <a:stretch>
                      <a:fillRect/>
                    </a:stretch>
                  </pic:blipFill>
                  <pic:spPr>
                    <a:xfrm>
                      <a:off x="0" y="0"/>
                      <a:ext cx="4309982" cy="191767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7"/>
    <w:p w:rsidR="00B45810" w:rsidRDefault="00E57649">
      <w:pPr>
        <w:spacing w:after="312"/>
        <w:ind w:firstLineChars="0" w:firstLine="0"/>
        <w:rPr>
          <w:rFonts w:eastAsia="SimHei"/>
          <w:sz w:val="24"/>
          <w:szCs w:val="28"/>
        </w:rPr>
      </w:pPr>
      <w:r>
        <w:rPr>
          <w:rFonts w:eastAsia="SimHei"/>
          <w:b/>
          <w:bCs/>
          <w:sz w:val="24"/>
          <w:szCs w:val="28"/>
        </w:rPr>
        <w:t xml:space="preserve">Figure S3. </w:t>
      </w:r>
      <w:r>
        <w:rPr>
          <w:rFonts w:eastAsia="SimHei" w:hint="eastAsia"/>
          <w:b/>
          <w:bCs/>
          <w:sz w:val="24"/>
          <w:szCs w:val="28"/>
        </w:rPr>
        <w:t>a</w:t>
      </w:r>
      <w:r>
        <w:rPr>
          <w:rFonts w:eastAsia="SimHei"/>
          <w:sz w:val="24"/>
          <w:szCs w:val="28"/>
        </w:rPr>
        <w:t xml:space="preserve"> The PL spectra and </w:t>
      </w:r>
      <w:r>
        <w:rPr>
          <w:rFonts w:eastAsia="SimHei" w:hint="eastAsia"/>
          <w:b/>
          <w:bCs/>
          <w:sz w:val="24"/>
          <w:szCs w:val="28"/>
        </w:rPr>
        <w:t>b</w:t>
      </w:r>
      <w:r>
        <w:rPr>
          <w:rFonts w:eastAsia="SimHei"/>
          <w:sz w:val="24"/>
          <w:szCs w:val="28"/>
        </w:rPr>
        <w:t xml:space="preserve"> the normalized PL spectra of QDs treated with different dose of 11-PHFA</w:t>
      </w:r>
    </w:p>
    <w:p w:rsidR="00B45810" w:rsidRDefault="00E57649">
      <w:pPr>
        <w:pStyle w:val="NoSpacing"/>
        <w:spacing w:after="312"/>
      </w:pPr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2606675" cy="1979295"/>
            <wp:effectExtent l="0" t="0" r="3175" b="1905"/>
            <wp:docPr id="3292528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252828" name="图片 3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1" t="9197" r="8495" b="5158"/>
                    <a:stretch>
                      <a:fillRect/>
                    </a:stretch>
                  </pic:blipFill>
                  <pic:spPr>
                    <a:xfrm>
                      <a:off x="0" y="0"/>
                      <a:ext cx="2630498" cy="199795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r>
        <w:t>Figure S4.</w:t>
      </w:r>
      <w:r>
        <w:rPr>
          <w:b w:val="0"/>
          <w:bCs/>
        </w:rPr>
        <w:t xml:space="preserve"> </w:t>
      </w:r>
      <w:bookmarkStart w:id="8" w:name="OLE_LINK2"/>
      <w:r>
        <w:rPr>
          <w:b w:val="0"/>
          <w:bCs/>
        </w:rPr>
        <w:t>The distribution of the interval of control and treated QDs in TEM measurements</w:t>
      </w:r>
      <w:bookmarkEnd w:id="8"/>
    </w:p>
    <w:p w:rsidR="00B45810" w:rsidRDefault="00E57649">
      <w:pPr>
        <w:pStyle w:val="NoSpacing"/>
        <w:spacing w:after="312"/>
      </w:pPr>
      <w:bookmarkStart w:id="9" w:name="_Hlk206421918"/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4166235" cy="1894205"/>
            <wp:effectExtent l="0" t="0" r="0" b="0"/>
            <wp:docPr id="891846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8461" name="图片 6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5" t="9475" r="4888" b="10359"/>
                    <a:stretch>
                      <a:fillRect/>
                    </a:stretch>
                  </pic:blipFill>
                  <pic:spPr>
                    <a:xfrm>
                      <a:off x="0" y="0"/>
                      <a:ext cx="4185890" cy="190331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  <w:rPr>
          <w:b w:val="0"/>
          <w:bCs/>
        </w:rPr>
      </w:pPr>
      <w:r>
        <w:t xml:space="preserve">Figure S5. </w:t>
      </w:r>
      <w:bookmarkStart w:id="10" w:name="OLE_LINK24"/>
      <w:r>
        <w:rPr>
          <w:b w:val="0"/>
          <w:bCs/>
        </w:rPr>
        <w:t xml:space="preserve">The </w:t>
      </w:r>
      <w:r>
        <w:rPr>
          <w:rFonts w:hint="eastAsia"/>
        </w:rPr>
        <w:t>a</w:t>
      </w:r>
      <w:r>
        <w:rPr>
          <w:b w:val="0"/>
          <w:bCs/>
        </w:rPr>
        <w:t xml:space="preserve"> UV spectra and </w:t>
      </w:r>
      <w:r>
        <w:rPr>
          <w:rFonts w:hint="eastAsia"/>
        </w:rPr>
        <w:t>b</w:t>
      </w:r>
      <w:r>
        <w:rPr>
          <w:b w:val="0"/>
          <w:bCs/>
        </w:rPr>
        <w:t xml:space="preserve"> PLE spectra of the control and treated QDs</w:t>
      </w:r>
      <w:bookmarkEnd w:id="10"/>
    </w:p>
    <w:bookmarkEnd w:id="9"/>
    <w:p w:rsidR="00B45810" w:rsidRDefault="00E57649">
      <w:pPr>
        <w:pStyle w:val="NoSpacing"/>
        <w:spacing w:after="312"/>
      </w:pPr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2798445" cy="2256790"/>
            <wp:effectExtent l="0" t="0" r="1905" b="0"/>
            <wp:docPr id="158523852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238528" name="图片 7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48" t="8789" r="12630" b="3580"/>
                    <a:stretch>
                      <a:fillRect/>
                    </a:stretch>
                  </pic:blipFill>
                  <pic:spPr>
                    <a:xfrm>
                      <a:off x="0" y="0"/>
                      <a:ext cx="2806715" cy="226345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r>
        <w:t xml:space="preserve">Figure S6. </w:t>
      </w:r>
      <w:r>
        <w:rPr>
          <w:b w:val="0"/>
          <w:bCs/>
        </w:rPr>
        <w:t xml:space="preserve">PL emission spectra of control and treated QDs in solution and film (657 </w:t>
      </w:r>
      <w:r>
        <w:rPr>
          <w:b w:val="0"/>
          <w:bCs/>
        </w:rPr>
        <w:t>nm)</w:t>
      </w:r>
    </w:p>
    <w:p w:rsidR="00B45810" w:rsidRDefault="00E57649">
      <w:pPr>
        <w:pStyle w:val="NoSpacing"/>
        <w:spacing w:after="312"/>
      </w:pPr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3646170" cy="3307715"/>
            <wp:effectExtent l="0" t="0" r="0" b="6985"/>
            <wp:docPr id="193895503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955038" name="图片 8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663" cy="333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r>
        <w:t xml:space="preserve">Figure S7. </w:t>
      </w:r>
      <w:bookmarkStart w:id="11" w:name="_Hlk208661541"/>
      <w:r>
        <w:rPr>
          <w:b w:val="0"/>
          <w:bCs/>
        </w:rPr>
        <w:t xml:space="preserve">The structural diagrams of QDs passivated by </w:t>
      </w:r>
      <w:r>
        <w:rPr>
          <w:rFonts w:hint="eastAsia"/>
        </w:rPr>
        <w:t>a</w:t>
      </w:r>
      <w:r>
        <w:rPr>
          <w:b w:val="0"/>
          <w:bCs/>
        </w:rPr>
        <w:t xml:space="preserve"> alkylamine and </w:t>
      </w:r>
      <w:r>
        <w:rPr>
          <w:rFonts w:hint="eastAsia"/>
        </w:rPr>
        <w:t>b</w:t>
      </w:r>
      <w:r>
        <w:rPr>
          <w:b w:val="0"/>
          <w:bCs/>
        </w:rPr>
        <w:t xml:space="preserve"> 11-PFHA</w:t>
      </w:r>
      <w:bookmarkEnd w:id="11"/>
    </w:p>
    <w:p w:rsidR="00B45810" w:rsidRDefault="00E57649">
      <w:pPr>
        <w:pStyle w:val="NoSpacing"/>
        <w:spacing w:after="312"/>
      </w:pPr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3309620" cy="2604770"/>
            <wp:effectExtent l="0" t="0" r="0" b="5080"/>
            <wp:docPr id="199414829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148298" name="图片 9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5062" cy="2617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bookmarkStart w:id="12" w:name="_Hlk204648603"/>
      <w:r>
        <w:t xml:space="preserve">Figure S8. </w:t>
      </w:r>
      <w:r>
        <w:rPr>
          <w:b w:val="0"/>
          <w:bCs/>
        </w:rPr>
        <w:t xml:space="preserve">Schematic diagram of (the cross-section along the ligand molecule) electron density difference between </w:t>
      </w:r>
      <w:r>
        <w:rPr>
          <w:rFonts w:hint="eastAsia"/>
        </w:rPr>
        <w:t>a</w:t>
      </w:r>
      <w:r>
        <w:t xml:space="preserve">, </w:t>
      </w:r>
      <w:r>
        <w:rPr>
          <w:rFonts w:hint="eastAsia"/>
        </w:rPr>
        <w:t>b</w:t>
      </w:r>
      <w:r>
        <w:rPr>
          <w:rFonts w:hint="eastAsia"/>
          <w:b w:val="0"/>
          <w:bCs/>
        </w:rPr>
        <w:t xml:space="preserve"> </w:t>
      </w:r>
      <w:r>
        <w:rPr>
          <w:b w:val="0"/>
          <w:bCs/>
        </w:rPr>
        <w:t xml:space="preserve">alkylamine and </w:t>
      </w:r>
      <w:r>
        <w:rPr>
          <w:rFonts w:hint="eastAsia"/>
        </w:rPr>
        <w:t>c</w:t>
      </w:r>
      <w:r>
        <w:t>,</w:t>
      </w:r>
      <w:r>
        <w:rPr>
          <w:rFonts w:hint="eastAsia"/>
        </w:rPr>
        <w:t xml:space="preserve"> d</w:t>
      </w:r>
      <w:r>
        <w:rPr>
          <w:rFonts w:hint="eastAsia"/>
          <w:b w:val="0"/>
          <w:bCs/>
        </w:rPr>
        <w:t xml:space="preserve"> </w:t>
      </w:r>
      <w:r>
        <w:rPr>
          <w:b w:val="0"/>
          <w:bCs/>
        </w:rPr>
        <w:t xml:space="preserve">11-PFHA (the cross-section perpendicular to the one shown in </w:t>
      </w:r>
      <w:r>
        <w:t>Figure S3</w:t>
      </w:r>
      <w:r>
        <w:rPr>
          <w:b w:val="0"/>
          <w:bCs/>
        </w:rPr>
        <w:t>)</w:t>
      </w:r>
    </w:p>
    <w:bookmarkEnd w:id="12"/>
    <w:p w:rsidR="00B45810" w:rsidRDefault="00E57649">
      <w:pPr>
        <w:pStyle w:val="NoSpacing"/>
        <w:spacing w:after="312"/>
      </w:pPr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3331210" cy="2226945"/>
            <wp:effectExtent l="0" t="0" r="2540" b="0"/>
            <wp:docPr id="182433228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332289" name="图片 10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88" t="7824" b="12902"/>
                    <a:stretch>
                      <a:fillRect/>
                    </a:stretch>
                  </pic:blipFill>
                  <pic:spPr>
                    <a:xfrm>
                      <a:off x="0" y="0"/>
                      <a:ext cx="3348720" cy="223882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  <w:rPr>
          <w:b w:val="0"/>
          <w:bCs/>
        </w:rPr>
      </w:pPr>
      <w:r>
        <w:t xml:space="preserve">Figure S9. </w:t>
      </w:r>
      <w:bookmarkStart w:id="13" w:name="_Hlk208672331"/>
      <w:r>
        <w:rPr>
          <w:b w:val="0"/>
          <w:bCs/>
        </w:rPr>
        <w:t>The electron potential barriers in QDs passivated with different ligands</w:t>
      </w:r>
      <w:bookmarkEnd w:id="13"/>
    </w:p>
    <w:p w:rsidR="00B45810" w:rsidRDefault="00E57649">
      <w:pPr>
        <w:pStyle w:val="NoSpacing"/>
        <w:spacing w:after="312"/>
      </w:pPr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3434715" cy="2428240"/>
            <wp:effectExtent l="0" t="0" r="0" b="0"/>
            <wp:docPr id="91426739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267396" name="图片 11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04"/>
                    <a:stretch>
                      <a:fillRect/>
                    </a:stretch>
                  </pic:blipFill>
                  <pic:spPr>
                    <a:xfrm>
                      <a:off x="0" y="0"/>
                      <a:ext cx="3443259" cy="243440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r>
        <w:t xml:space="preserve">Figure S10. </w:t>
      </w:r>
      <w:bookmarkStart w:id="14" w:name="_Hlk208678204"/>
      <w:r>
        <w:rPr>
          <w:b w:val="0"/>
          <w:bCs/>
        </w:rPr>
        <w:t>The PL Decay measurements of the control and treated QDs</w:t>
      </w:r>
      <w:bookmarkEnd w:id="14"/>
    </w:p>
    <w:p w:rsidR="00B45810" w:rsidRDefault="00E57649">
      <w:pPr>
        <w:pStyle w:val="NoSpacing"/>
        <w:spacing w:after="312"/>
      </w:pPr>
      <w:bookmarkStart w:id="15" w:name="_Hlk206358223"/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4603750" cy="1615440"/>
            <wp:effectExtent l="0" t="0" r="0" b="0"/>
            <wp:docPr id="210940880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408804" name="图片 12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4279" cy="162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bookmarkStart w:id="16" w:name="_Hlk204544649"/>
      <w:r>
        <w:t xml:space="preserve">Figure S11. </w:t>
      </w:r>
      <w:bookmarkStart w:id="17" w:name="_Hlk208673290"/>
      <w:r>
        <w:rPr>
          <w:b w:val="0"/>
          <w:bCs/>
        </w:rPr>
        <w:t xml:space="preserve">PLQY results </w:t>
      </w:r>
      <w:r>
        <w:rPr>
          <w:b w:val="0"/>
          <w:bCs/>
        </w:rPr>
        <w:t xml:space="preserve">of the control and treated QDs emission at </w:t>
      </w:r>
      <w:r>
        <w:rPr>
          <w:rFonts w:hint="eastAsia"/>
        </w:rPr>
        <w:t>a</w:t>
      </w:r>
      <w:r>
        <w:rPr>
          <w:rFonts w:hint="eastAsia"/>
          <w:b w:val="0"/>
          <w:bCs/>
        </w:rPr>
        <w:t xml:space="preserve"> </w:t>
      </w:r>
      <w:r>
        <w:rPr>
          <w:b w:val="0"/>
          <w:bCs/>
        </w:rPr>
        <w:t xml:space="preserve">640 nm and </w:t>
      </w:r>
      <w:r>
        <w:rPr>
          <w:rFonts w:hint="eastAsia"/>
        </w:rPr>
        <w:t>b</w:t>
      </w:r>
      <w:r>
        <w:rPr>
          <w:b w:val="0"/>
          <w:bCs/>
        </w:rPr>
        <w:t xml:space="preserve"> 657 nm in solution and film state</w:t>
      </w:r>
    </w:p>
    <w:p w:rsidR="00B45810" w:rsidRDefault="00E57649">
      <w:pPr>
        <w:pStyle w:val="a1"/>
        <w:jc w:val="center"/>
      </w:pPr>
      <w:r>
        <w:rPr>
          <w:noProof/>
          <w:lang w:val="en-IN" w:eastAsia="en-IN"/>
        </w:rPr>
        <w:drawing>
          <wp:inline distT="0" distB="0" distL="0" distR="0">
            <wp:extent cx="4484370" cy="1854835"/>
            <wp:effectExtent l="0" t="0" r="0" b="0"/>
            <wp:docPr id="71497480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974804" name="图片 1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42" b="6218"/>
                    <a:stretch>
                      <a:fillRect/>
                    </a:stretch>
                  </pic:blipFill>
                  <pic:spPr>
                    <a:xfrm>
                      <a:off x="0" y="0"/>
                      <a:ext cx="4504688" cy="186365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r>
        <w:t xml:space="preserve">Figure S12. </w:t>
      </w:r>
      <w:r>
        <w:rPr>
          <w:b w:val="0"/>
          <w:bCs/>
        </w:rPr>
        <w:t xml:space="preserve">TA spectra of GSB peaks establishment dynamics process of </w:t>
      </w:r>
      <w:r>
        <w:rPr>
          <w:rFonts w:hint="eastAsia"/>
        </w:rPr>
        <w:t>a</w:t>
      </w:r>
      <w:r>
        <w:rPr>
          <w:b w:val="0"/>
          <w:bCs/>
        </w:rPr>
        <w:t xml:space="preserve"> control and </w:t>
      </w:r>
      <w:r>
        <w:rPr>
          <w:rFonts w:hint="eastAsia"/>
        </w:rPr>
        <w:t>b</w:t>
      </w:r>
      <w:r>
        <w:rPr>
          <w:b w:val="0"/>
          <w:bCs/>
        </w:rPr>
        <w:t xml:space="preserve"> treated QDs</w:t>
      </w:r>
    </w:p>
    <w:bookmarkEnd w:id="15"/>
    <w:bookmarkEnd w:id="16"/>
    <w:bookmarkEnd w:id="17"/>
    <w:p w:rsidR="00B45810" w:rsidRDefault="00E57649">
      <w:pPr>
        <w:pStyle w:val="a1"/>
        <w:jc w:val="center"/>
      </w:pPr>
      <w:r>
        <w:rPr>
          <w:noProof/>
          <w:lang w:val="en-IN" w:eastAsia="en-IN"/>
        </w:rPr>
        <w:drawing>
          <wp:inline distT="0" distB="0" distL="0" distR="0">
            <wp:extent cx="6546850" cy="1899285"/>
            <wp:effectExtent l="0" t="0" r="0" b="0"/>
            <wp:docPr id="46419753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197536" name="图片 14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7016" cy="190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r>
        <w:t xml:space="preserve">Figure S13. </w:t>
      </w:r>
      <w:r>
        <w:rPr>
          <w:b w:val="0"/>
          <w:bCs/>
        </w:rPr>
        <w:t xml:space="preserve">The TEM pictures of QDs emission at </w:t>
      </w:r>
      <w:r>
        <w:rPr>
          <w:rFonts w:hint="eastAsia"/>
        </w:rPr>
        <w:t>a</w:t>
      </w:r>
      <w:r>
        <w:rPr>
          <w:b w:val="0"/>
          <w:bCs/>
        </w:rPr>
        <w:t xml:space="preserve"> 640nm and</w:t>
      </w:r>
      <w:r>
        <w:rPr>
          <w:rFonts w:hint="eastAsia"/>
          <w:b w:val="0"/>
          <w:bCs/>
        </w:rPr>
        <w:t xml:space="preserve"> </w:t>
      </w:r>
      <w:r>
        <w:rPr>
          <w:rFonts w:hint="eastAsia"/>
        </w:rPr>
        <w:t>b</w:t>
      </w:r>
      <w:r>
        <w:rPr>
          <w:b w:val="0"/>
          <w:bCs/>
        </w:rPr>
        <w:t xml:space="preserve"> </w:t>
      </w:r>
      <w:r>
        <w:rPr>
          <w:b w:val="0"/>
          <w:bCs/>
        </w:rPr>
        <w:t xml:space="preserve">657nm. </w:t>
      </w:r>
      <w:r>
        <w:rPr>
          <w:rFonts w:hint="eastAsia"/>
        </w:rPr>
        <w:t>c</w:t>
      </w:r>
      <w:r>
        <w:rPr>
          <w:b w:val="0"/>
          <w:bCs/>
        </w:rPr>
        <w:t xml:space="preserve"> The </w:t>
      </w:r>
      <w:bookmarkStart w:id="18" w:name="_Hlk204654513"/>
      <w:r>
        <w:rPr>
          <w:b w:val="0"/>
          <w:bCs/>
        </w:rPr>
        <w:t>statistic of the size of QDs emission at 640nm and 657nm</w:t>
      </w:r>
    </w:p>
    <w:p w:rsidR="00B45810" w:rsidRDefault="00E57649">
      <w:pPr>
        <w:pStyle w:val="a1"/>
        <w:jc w:val="center"/>
      </w:pPr>
      <w:r>
        <w:rPr>
          <w:noProof/>
          <w:lang w:val="en-IN" w:eastAsia="en-IN"/>
        </w:rPr>
        <w:drawing>
          <wp:inline distT="0" distB="0" distL="0" distR="0">
            <wp:extent cx="2828925" cy="2127885"/>
            <wp:effectExtent l="0" t="0" r="9525" b="5715"/>
            <wp:docPr id="188524366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243665" name="图片 16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90" t="25585" r="21170" b="25018"/>
                    <a:stretch>
                      <a:fillRect/>
                    </a:stretch>
                  </pic:blipFill>
                  <pic:spPr>
                    <a:xfrm>
                      <a:off x="0" y="0"/>
                      <a:ext cx="2840511" cy="21362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r>
        <w:t>Figure S14.</w:t>
      </w:r>
      <w:r>
        <w:rPr>
          <w:b w:val="0"/>
          <w:bCs/>
        </w:rPr>
        <w:t xml:space="preserve"> </w:t>
      </w:r>
      <w:bookmarkStart w:id="19" w:name="_Hlk204654646"/>
      <w:bookmarkStart w:id="20" w:name="_Hlk208697366"/>
      <w:r>
        <w:rPr>
          <w:b w:val="0"/>
          <w:bCs/>
        </w:rPr>
        <w:t xml:space="preserve">Cross-sectional TEM images </w:t>
      </w:r>
      <w:bookmarkEnd w:id="19"/>
      <w:r>
        <w:rPr>
          <w:b w:val="0"/>
          <w:bCs/>
        </w:rPr>
        <w:t>of LEDs based on CsPbI</w:t>
      </w:r>
      <w:r>
        <w:rPr>
          <w:b w:val="0"/>
          <w:bCs/>
          <w:vertAlign w:val="subscript"/>
        </w:rPr>
        <w:t>3</w:t>
      </w:r>
      <w:r>
        <w:rPr>
          <w:b w:val="0"/>
          <w:bCs/>
        </w:rPr>
        <w:t xml:space="preserve"> QD emission at 640nm</w:t>
      </w:r>
      <w:bookmarkEnd w:id="20"/>
    </w:p>
    <w:bookmarkEnd w:id="18"/>
    <w:p w:rsidR="00B45810" w:rsidRDefault="00E57649">
      <w:pPr>
        <w:pStyle w:val="a1"/>
        <w:jc w:val="center"/>
      </w:pPr>
      <w:r>
        <w:rPr>
          <w:noProof/>
          <w:lang w:val="en-IN" w:eastAsia="en-IN"/>
        </w:rPr>
        <w:drawing>
          <wp:inline distT="0" distB="0" distL="0" distR="0">
            <wp:extent cx="6149340" cy="3060700"/>
            <wp:effectExtent l="0" t="0" r="3810" b="0"/>
            <wp:docPr id="71793740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937406" name="图片 17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4858" cy="306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bookmarkStart w:id="21" w:name="_Hlk204613959"/>
      <w:bookmarkStart w:id="22" w:name="_Hlk204530045"/>
      <w:r>
        <w:t xml:space="preserve">Figure S15. </w:t>
      </w:r>
      <w:bookmarkStart w:id="23" w:name="_Hlk208696529"/>
      <w:r>
        <w:rPr>
          <w:b w:val="0"/>
          <w:bCs/>
        </w:rPr>
        <w:t>The UPS details of the control and treated QDs</w:t>
      </w:r>
      <w:r>
        <w:t xml:space="preserve"> </w:t>
      </w:r>
      <w:r>
        <w:rPr>
          <w:rFonts w:hint="eastAsia"/>
        </w:rPr>
        <w:t>a, b</w:t>
      </w:r>
      <w:r>
        <w:rPr>
          <w:b w:val="0"/>
          <w:bCs/>
        </w:rPr>
        <w:t xml:space="preserve"> emission at 640 nm and </w:t>
      </w:r>
      <w:r>
        <w:rPr>
          <w:rFonts w:hint="eastAsia"/>
        </w:rPr>
        <w:t>c, d</w:t>
      </w:r>
      <w:r>
        <w:t xml:space="preserve"> </w:t>
      </w:r>
      <w:r>
        <w:rPr>
          <w:b w:val="0"/>
          <w:bCs/>
        </w:rPr>
        <w:t>657 nm</w:t>
      </w:r>
      <w:r>
        <w:rPr>
          <w:b w:val="0"/>
          <w:bCs/>
        </w:rPr>
        <w:t xml:space="preserve">. The energy landscape of the QD emission at </w:t>
      </w:r>
      <w:r>
        <w:rPr>
          <w:rFonts w:hint="eastAsia"/>
        </w:rPr>
        <w:t>e</w:t>
      </w:r>
      <w:r>
        <w:rPr>
          <w:b w:val="0"/>
          <w:bCs/>
        </w:rPr>
        <w:t xml:space="preserve"> 640 nm and </w:t>
      </w:r>
      <w:r>
        <w:rPr>
          <w:rFonts w:hint="eastAsia"/>
        </w:rPr>
        <w:t>f</w:t>
      </w:r>
      <w:r>
        <w:rPr>
          <w:b w:val="0"/>
          <w:bCs/>
        </w:rPr>
        <w:t xml:space="preserve"> 657 nm</w:t>
      </w:r>
      <w:bookmarkEnd w:id="23"/>
    </w:p>
    <w:p w:rsidR="00B45810" w:rsidRDefault="00E57649">
      <w:pPr>
        <w:spacing w:after="312"/>
        <w:ind w:firstLine="480"/>
        <w:jc w:val="center"/>
        <w:rPr>
          <w:rFonts w:eastAsia="SimHei"/>
          <w:sz w:val="24"/>
          <w:szCs w:val="28"/>
        </w:rPr>
      </w:pPr>
      <w:r>
        <w:rPr>
          <w:rFonts w:eastAsia="SimHei"/>
          <w:noProof/>
          <w:sz w:val="24"/>
          <w:szCs w:val="28"/>
          <w:lang w:val="en-IN" w:eastAsia="en-IN"/>
          <w14:ligatures w14:val="standardContextual"/>
        </w:rPr>
        <w:drawing>
          <wp:inline distT="0" distB="0" distL="0" distR="0">
            <wp:extent cx="4420870" cy="1858010"/>
            <wp:effectExtent l="0" t="0" r="0" b="0"/>
            <wp:docPr id="75514973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149735" name="图片 18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224" cy="1868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spacing w:after="312"/>
        <w:ind w:firstLineChars="0" w:firstLine="0"/>
        <w:rPr>
          <w:rFonts w:eastAsia="SimHei"/>
        </w:rPr>
      </w:pPr>
      <w:r>
        <w:rPr>
          <w:rFonts w:eastAsia="SimHei"/>
          <w:b/>
          <w:bCs/>
          <w:szCs w:val="21"/>
        </w:rPr>
        <w:t xml:space="preserve">Figure S16. </w:t>
      </w:r>
      <w:r>
        <w:rPr>
          <w:rFonts w:eastAsia="SimHei"/>
          <w:szCs w:val="21"/>
        </w:rPr>
        <w:t>Th</w:t>
      </w:r>
      <w:r>
        <w:rPr>
          <w:rFonts w:eastAsia="SimHei"/>
        </w:rPr>
        <w:t xml:space="preserve">e current density vs voltage curves of the hole only devices based on control QDs and 11-PFHA QDs emission at </w:t>
      </w:r>
      <w:r>
        <w:rPr>
          <w:rFonts w:eastAsia="SimHei" w:hint="eastAsia"/>
          <w:b/>
          <w:bCs/>
        </w:rPr>
        <w:t>a</w:t>
      </w:r>
      <w:r>
        <w:rPr>
          <w:rFonts w:eastAsia="SimHei"/>
        </w:rPr>
        <w:t xml:space="preserve"> 640 nm and </w:t>
      </w:r>
      <w:r>
        <w:rPr>
          <w:rFonts w:eastAsia="SimHei" w:hint="eastAsia"/>
          <w:b/>
          <w:bCs/>
        </w:rPr>
        <w:t>b</w:t>
      </w:r>
      <w:r>
        <w:rPr>
          <w:rFonts w:eastAsia="SimHei"/>
        </w:rPr>
        <w:t xml:space="preserve"> 657 nm</w:t>
      </w:r>
    </w:p>
    <w:p w:rsidR="00B45810" w:rsidRDefault="00E57649">
      <w:pPr>
        <w:pStyle w:val="a1"/>
        <w:jc w:val="center"/>
      </w:pPr>
      <w:r>
        <w:rPr>
          <w:noProof/>
          <w:lang w:val="en-IN" w:eastAsia="en-IN"/>
        </w:rPr>
        <w:drawing>
          <wp:inline distT="0" distB="0" distL="0" distR="0">
            <wp:extent cx="3354070" cy="2926080"/>
            <wp:effectExtent l="0" t="0" r="0" b="7620"/>
            <wp:docPr id="40377484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774845" name="图片 20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29" t="5999" r="4907" b="8102"/>
                    <a:stretch>
                      <a:fillRect/>
                    </a:stretch>
                  </pic:blipFill>
                  <pic:spPr>
                    <a:xfrm>
                      <a:off x="0" y="0"/>
                      <a:ext cx="3373530" cy="29427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bookmarkStart w:id="24" w:name="_Hlk213453212"/>
      <w:r>
        <w:t xml:space="preserve">Figure S17. </w:t>
      </w:r>
      <w:r>
        <w:rPr>
          <w:rFonts w:hint="eastAsia"/>
        </w:rPr>
        <w:t>a</w:t>
      </w:r>
      <w:r>
        <w:rPr>
          <w:b w:val="0"/>
          <w:bCs/>
        </w:rPr>
        <w:t xml:space="preserve"> EL spectra </w:t>
      </w:r>
      <w:r>
        <w:rPr>
          <w:rFonts w:hint="eastAsia"/>
        </w:rPr>
        <w:t>b</w:t>
      </w:r>
      <w:r>
        <w:rPr>
          <w:b w:val="0"/>
          <w:bCs/>
        </w:rPr>
        <w:t xml:space="preserve"> Current density vs Voltage vs Luminance curves </w:t>
      </w:r>
      <w:r>
        <w:rPr>
          <w:rFonts w:hint="eastAsia"/>
        </w:rPr>
        <w:t>c</w:t>
      </w:r>
      <w:r>
        <w:rPr>
          <w:b w:val="0"/>
          <w:bCs/>
        </w:rPr>
        <w:t xml:space="preserve"> EQE vs Current density curve and </w:t>
      </w:r>
      <w:r>
        <w:rPr>
          <w:rFonts w:hint="eastAsia"/>
        </w:rPr>
        <w:t>d</w:t>
      </w:r>
      <w:r>
        <w:rPr>
          <w:b w:val="0"/>
          <w:bCs/>
        </w:rPr>
        <w:t xml:space="preserve"> EQE vs Luminance curve of 11-PFHA treated QDs measured by the group of Zhang Xiaoyu in Jilin University</w:t>
      </w:r>
    </w:p>
    <w:p w:rsidR="00B45810" w:rsidRDefault="00E57649">
      <w:pPr>
        <w:pStyle w:val="a1"/>
        <w:jc w:val="center"/>
      </w:pPr>
      <w:bookmarkStart w:id="25" w:name="_Hlk219707165"/>
      <w:bookmarkEnd w:id="24"/>
      <w:r>
        <w:rPr>
          <w:rFonts w:hint="eastAsia"/>
          <w:noProof/>
          <w:lang w:val="en-IN" w:eastAsia="en-IN"/>
        </w:rPr>
        <w:drawing>
          <wp:inline distT="0" distB="0" distL="114300" distR="114300">
            <wp:extent cx="6130925" cy="3569970"/>
            <wp:effectExtent l="0" t="0" r="0" b="0"/>
            <wp:docPr id="2" name="图片 2" descr="Figure S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ure S1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30925" cy="356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spacing w:after="312"/>
        <w:ind w:firstLineChars="0" w:firstLine="0"/>
        <w:rPr>
          <w:sz w:val="24"/>
          <w:szCs w:val="28"/>
        </w:rPr>
      </w:pPr>
      <w:bookmarkStart w:id="26" w:name="_Hlk205991367"/>
      <w:r>
        <w:rPr>
          <w:b/>
          <w:bCs/>
          <w:sz w:val="24"/>
          <w:szCs w:val="28"/>
        </w:rPr>
        <w:t>Figure S18.</w:t>
      </w:r>
      <w:r>
        <w:rPr>
          <w:sz w:val="24"/>
          <w:szCs w:val="28"/>
        </w:rPr>
        <w:t xml:space="preserve"> </w:t>
      </w:r>
      <w:r>
        <w:rPr>
          <w:rFonts w:hint="eastAsia"/>
          <w:b/>
          <w:bCs/>
          <w:sz w:val="24"/>
          <w:szCs w:val="28"/>
        </w:rPr>
        <w:t>a</w:t>
      </w:r>
      <w:r>
        <w:rPr>
          <w:rFonts w:hint="eastAsia"/>
          <w:sz w:val="24"/>
          <w:szCs w:val="28"/>
        </w:rPr>
        <w:t xml:space="preserve"> </w:t>
      </w:r>
      <w:r>
        <w:rPr>
          <w:sz w:val="24"/>
          <w:szCs w:val="28"/>
        </w:rPr>
        <w:t xml:space="preserve">The EL spectra </w:t>
      </w:r>
      <w:r>
        <w:rPr>
          <w:rFonts w:hint="eastAsia"/>
          <w:b/>
          <w:bCs/>
          <w:sz w:val="24"/>
          <w:szCs w:val="28"/>
        </w:rPr>
        <w:t>b</w:t>
      </w:r>
      <w:r>
        <w:rPr>
          <w:sz w:val="24"/>
          <w:szCs w:val="28"/>
        </w:rPr>
        <w:t xml:space="preserve"> </w:t>
      </w:r>
      <w:bookmarkStart w:id="27" w:name="_Hlk204655030"/>
      <w:r>
        <w:rPr>
          <w:sz w:val="24"/>
          <w:szCs w:val="28"/>
        </w:rPr>
        <w:t xml:space="preserve">EQE vs current density and </w:t>
      </w:r>
      <w:r>
        <w:rPr>
          <w:rFonts w:hint="eastAsia"/>
          <w:b/>
          <w:bCs/>
          <w:sz w:val="24"/>
          <w:szCs w:val="28"/>
        </w:rPr>
        <w:t>c</w:t>
      </w:r>
      <w:r>
        <w:rPr>
          <w:sz w:val="24"/>
          <w:szCs w:val="28"/>
        </w:rPr>
        <w:t xml:space="preserve"> CE vs current density curve</w:t>
      </w:r>
      <w:bookmarkEnd w:id="27"/>
      <w:r>
        <w:rPr>
          <w:sz w:val="24"/>
          <w:szCs w:val="28"/>
        </w:rPr>
        <w:t xml:space="preserve"> of PeLEDs based on QDs emission at 640nm. </w:t>
      </w:r>
      <w:r>
        <w:rPr>
          <w:rFonts w:hint="eastAsia"/>
          <w:b/>
          <w:bCs/>
          <w:sz w:val="24"/>
          <w:szCs w:val="28"/>
        </w:rPr>
        <w:t>d</w:t>
      </w:r>
      <w:r>
        <w:rPr>
          <w:rFonts w:hint="eastAsia"/>
          <w:sz w:val="24"/>
          <w:szCs w:val="28"/>
        </w:rPr>
        <w:t xml:space="preserve"> </w:t>
      </w:r>
      <w:r>
        <w:rPr>
          <w:sz w:val="24"/>
          <w:szCs w:val="28"/>
        </w:rPr>
        <w:t xml:space="preserve">The EL spectra </w:t>
      </w:r>
      <w:r>
        <w:rPr>
          <w:rFonts w:hint="eastAsia"/>
          <w:b/>
          <w:bCs/>
          <w:sz w:val="24"/>
          <w:szCs w:val="28"/>
        </w:rPr>
        <w:t>e</w:t>
      </w:r>
      <w:r>
        <w:rPr>
          <w:sz w:val="24"/>
          <w:szCs w:val="28"/>
        </w:rPr>
        <w:t xml:space="preserve"> EQE vs current density and </w:t>
      </w:r>
      <w:r>
        <w:rPr>
          <w:rFonts w:hint="eastAsia"/>
          <w:b/>
          <w:bCs/>
          <w:sz w:val="24"/>
          <w:szCs w:val="28"/>
        </w:rPr>
        <w:t>f</w:t>
      </w:r>
      <w:r>
        <w:rPr>
          <w:sz w:val="24"/>
          <w:szCs w:val="28"/>
        </w:rPr>
        <w:t xml:space="preserve"> CE vs current density curve of PeLEDs based on QDs emission at 657nm</w:t>
      </w:r>
    </w:p>
    <w:bookmarkEnd w:id="25"/>
    <w:bookmarkEnd w:id="26"/>
    <w:p w:rsidR="00B45810" w:rsidRDefault="00E57649">
      <w:pPr>
        <w:pStyle w:val="a1"/>
        <w:jc w:val="center"/>
      </w:pPr>
      <w:r>
        <w:rPr>
          <w:noProof/>
          <w:lang w:val="en-IN" w:eastAsia="en-IN"/>
        </w:rPr>
        <w:drawing>
          <wp:inline distT="0" distB="0" distL="0" distR="0">
            <wp:extent cx="2941320" cy="2117725"/>
            <wp:effectExtent l="0" t="0" r="0" b="0"/>
            <wp:docPr id="51814941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149417" name="图片 22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3" t="9058" r="6423" b="9587"/>
                    <a:stretch>
                      <a:fillRect/>
                    </a:stretch>
                  </pic:blipFill>
                  <pic:spPr>
                    <a:xfrm>
                      <a:off x="0" y="0"/>
                      <a:ext cx="2953736" cy="212703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spacing w:after="312"/>
        <w:ind w:firstLineChars="0" w:firstLine="0"/>
        <w:rPr>
          <w:sz w:val="24"/>
          <w:szCs w:val="28"/>
        </w:rPr>
      </w:pPr>
      <w:r>
        <w:rPr>
          <w:b/>
          <w:bCs/>
          <w:sz w:val="24"/>
          <w:szCs w:val="28"/>
        </w:rPr>
        <w:t>Figure S19.</w:t>
      </w:r>
      <w:r>
        <w:rPr>
          <w:sz w:val="24"/>
          <w:szCs w:val="28"/>
        </w:rPr>
        <w:t xml:space="preserve"> </w:t>
      </w:r>
      <w:bookmarkStart w:id="28" w:name="_Hlk208698698"/>
      <w:r>
        <w:rPr>
          <w:sz w:val="24"/>
          <w:szCs w:val="28"/>
        </w:rPr>
        <w:t>The distribution of the peak EQE of the PeLEDs fabrica</w:t>
      </w:r>
      <w:r>
        <w:rPr>
          <w:sz w:val="24"/>
          <w:szCs w:val="28"/>
        </w:rPr>
        <w:t>ted with control and treated QDs emission at 640nm and 657nm</w:t>
      </w:r>
    </w:p>
    <w:bookmarkEnd w:id="28"/>
    <w:p w:rsidR="00B45810" w:rsidRDefault="00E57649">
      <w:pPr>
        <w:pStyle w:val="a1"/>
        <w:jc w:val="center"/>
      </w:pPr>
      <w:r>
        <w:rPr>
          <w:noProof/>
          <w:lang w:val="en-IN" w:eastAsia="en-IN"/>
        </w:rPr>
        <w:drawing>
          <wp:inline distT="0" distB="0" distL="0" distR="0">
            <wp:extent cx="3053715" cy="2418080"/>
            <wp:effectExtent l="0" t="0" r="0" b="1270"/>
            <wp:docPr id="13304390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43907" name="图片 23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8" t="9996" r="12884" b="7481"/>
                    <a:stretch>
                      <a:fillRect/>
                    </a:stretch>
                  </pic:blipFill>
                  <pic:spPr>
                    <a:xfrm>
                      <a:off x="0" y="0"/>
                      <a:ext cx="3065632" cy="242781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r>
        <w:t xml:space="preserve">Figure S20. </w:t>
      </w:r>
      <w:bookmarkStart w:id="29" w:name="_Hlk208699254"/>
      <w:r>
        <w:rPr>
          <w:b w:val="0"/>
          <w:bCs/>
        </w:rPr>
        <w:t>Comparison of the EQE of devices based on CsPbI</w:t>
      </w:r>
      <w:r>
        <w:rPr>
          <w:b w:val="0"/>
          <w:bCs/>
          <w:vertAlign w:val="subscript"/>
        </w:rPr>
        <w:t>3</w:t>
      </w:r>
      <w:r>
        <w:rPr>
          <w:b w:val="0"/>
          <w:bCs/>
        </w:rPr>
        <w:t xml:space="preserve"> in our work with others available from the current literature</w:t>
      </w:r>
      <w:bookmarkEnd w:id="29"/>
    </w:p>
    <w:p w:rsidR="00B45810" w:rsidRDefault="00E57649">
      <w:pPr>
        <w:spacing w:after="312"/>
        <w:ind w:firstLineChars="0" w:firstLine="0"/>
        <w:jc w:val="center"/>
        <w:rPr>
          <w:rFonts w:eastAsia="SimHei"/>
          <w:sz w:val="24"/>
          <w:szCs w:val="28"/>
        </w:rPr>
      </w:pPr>
      <w:bookmarkStart w:id="30" w:name="_Hlk220013154"/>
      <w:r>
        <w:rPr>
          <w:rFonts w:eastAsia="SimHei"/>
          <w:noProof/>
          <w:sz w:val="24"/>
          <w:szCs w:val="28"/>
          <w:lang w:val="en-IN" w:eastAsia="en-IN"/>
          <w14:ligatures w14:val="standardContextual"/>
        </w:rPr>
        <w:drawing>
          <wp:inline distT="0" distB="0" distL="0" distR="0">
            <wp:extent cx="6753225" cy="3044190"/>
            <wp:effectExtent l="0" t="0" r="0" b="0"/>
            <wp:docPr id="149621052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210525" name="图片 26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4680" cy="3049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spacing w:after="312"/>
        <w:ind w:firstLineChars="0" w:firstLine="0"/>
        <w:rPr>
          <w:rFonts w:eastAsia="SimHei"/>
          <w:sz w:val="24"/>
          <w:szCs w:val="28"/>
        </w:rPr>
      </w:pPr>
      <w:r>
        <w:rPr>
          <w:rFonts w:eastAsia="SimHei"/>
          <w:b/>
          <w:bCs/>
          <w:sz w:val="24"/>
          <w:szCs w:val="28"/>
        </w:rPr>
        <w:t>Figure S21.</w:t>
      </w:r>
      <w:r>
        <w:rPr>
          <w:rFonts w:eastAsia="SimHei"/>
          <w:sz w:val="24"/>
          <w:szCs w:val="28"/>
        </w:rPr>
        <w:t xml:space="preserve"> The </w:t>
      </w:r>
      <w:bookmarkStart w:id="31" w:name="_Hlk219732435"/>
      <w:r>
        <w:rPr>
          <w:rFonts w:eastAsia="SimHei"/>
          <w:sz w:val="24"/>
          <w:szCs w:val="28"/>
        </w:rPr>
        <w:t>PL spectra at different bias of devices based on</w:t>
      </w:r>
      <w:bookmarkEnd w:id="31"/>
      <w:r>
        <w:rPr>
          <w:rFonts w:eastAsia="SimHei"/>
          <w:sz w:val="24"/>
          <w:szCs w:val="28"/>
        </w:rPr>
        <w:t xml:space="preserve"> </w:t>
      </w:r>
      <w:r>
        <w:rPr>
          <w:rFonts w:eastAsia="SimHei" w:hint="eastAsia"/>
          <w:b/>
          <w:bCs/>
          <w:sz w:val="24"/>
          <w:szCs w:val="28"/>
        </w:rPr>
        <w:t>a</w:t>
      </w:r>
      <w:r>
        <w:rPr>
          <w:rFonts w:eastAsia="SimHei" w:hint="eastAsia"/>
          <w:sz w:val="24"/>
          <w:szCs w:val="28"/>
        </w:rPr>
        <w:t xml:space="preserve">, </w:t>
      </w:r>
      <w:r>
        <w:rPr>
          <w:rFonts w:eastAsia="SimHei" w:hint="eastAsia"/>
          <w:b/>
          <w:bCs/>
          <w:sz w:val="24"/>
          <w:szCs w:val="28"/>
        </w:rPr>
        <w:t>e</w:t>
      </w:r>
      <w:r>
        <w:rPr>
          <w:rFonts w:eastAsia="SimHei"/>
          <w:sz w:val="24"/>
          <w:szCs w:val="28"/>
        </w:rPr>
        <w:t xml:space="preserve"> control QDs and </w:t>
      </w:r>
      <w:r>
        <w:rPr>
          <w:rFonts w:eastAsia="SimHei" w:hint="eastAsia"/>
          <w:b/>
          <w:bCs/>
          <w:sz w:val="24"/>
          <w:szCs w:val="28"/>
        </w:rPr>
        <w:t>b, f</w:t>
      </w:r>
      <w:r>
        <w:rPr>
          <w:rFonts w:eastAsia="SimHei"/>
          <w:sz w:val="24"/>
          <w:szCs w:val="28"/>
        </w:rPr>
        <w:t xml:space="preserve"> 11-PFHA treated QDs. The PL spectra before and after T</w:t>
      </w:r>
      <w:r>
        <w:rPr>
          <w:rFonts w:eastAsia="SimHei"/>
          <w:sz w:val="24"/>
          <w:szCs w:val="28"/>
          <w:vertAlign w:val="subscript"/>
        </w:rPr>
        <w:t>50</w:t>
      </w:r>
      <w:r>
        <w:rPr>
          <w:rFonts w:eastAsia="SimHei"/>
          <w:sz w:val="24"/>
          <w:szCs w:val="28"/>
        </w:rPr>
        <w:t xml:space="preserve"> tests of devices based on the </w:t>
      </w:r>
      <w:r>
        <w:rPr>
          <w:rFonts w:eastAsia="SimHei" w:hint="eastAsia"/>
          <w:b/>
          <w:bCs/>
          <w:sz w:val="24"/>
          <w:szCs w:val="28"/>
        </w:rPr>
        <w:t>c, d</w:t>
      </w:r>
      <w:r>
        <w:rPr>
          <w:rFonts w:eastAsia="SimHei"/>
          <w:sz w:val="24"/>
          <w:szCs w:val="28"/>
        </w:rPr>
        <w:t xml:space="preserve"> control and </w:t>
      </w:r>
      <w:r>
        <w:rPr>
          <w:rFonts w:eastAsia="SimHei" w:hint="eastAsia"/>
          <w:b/>
          <w:bCs/>
          <w:sz w:val="24"/>
          <w:szCs w:val="28"/>
        </w:rPr>
        <w:t xml:space="preserve">g, h </w:t>
      </w:r>
      <w:r>
        <w:rPr>
          <w:rFonts w:eastAsia="SimHei"/>
          <w:sz w:val="24"/>
          <w:szCs w:val="28"/>
        </w:rPr>
        <w:t>11-PFHA treated QDs, the normalized EL spectra are embedded in the corresponding EL spectra</w:t>
      </w:r>
    </w:p>
    <w:p w:rsidR="00B45810" w:rsidRDefault="00E57649">
      <w:pPr>
        <w:spacing w:after="312"/>
        <w:ind w:firstLineChars="0" w:firstLine="0"/>
        <w:jc w:val="center"/>
      </w:pPr>
      <w:bookmarkStart w:id="32" w:name="_Hlk204613608"/>
      <w:bookmarkEnd w:id="21"/>
      <w:bookmarkEnd w:id="30"/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5636260" cy="1766570"/>
            <wp:effectExtent l="0" t="0" r="2540" b="0"/>
            <wp:docPr id="1994795835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795835" name="图片 28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4" r="4280"/>
                    <a:stretch>
                      <a:fillRect/>
                    </a:stretch>
                  </pic:blipFill>
                  <pic:spPr>
                    <a:xfrm>
                      <a:off x="0" y="0"/>
                      <a:ext cx="5649403" cy="177089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10" w:rsidRDefault="00E57649">
      <w:pPr>
        <w:spacing w:after="312"/>
        <w:ind w:firstLineChars="0" w:firstLine="0"/>
        <w:rPr>
          <w:color w:val="000000" w:themeColor="text1"/>
          <w:sz w:val="24"/>
          <w:szCs w:val="24"/>
        </w:rPr>
      </w:pPr>
      <w:bookmarkStart w:id="33" w:name="_Hlk204517049"/>
      <w:r>
        <w:rPr>
          <w:b/>
          <w:bCs/>
          <w:color w:val="000000" w:themeColor="text1"/>
          <w:sz w:val="24"/>
          <w:szCs w:val="24"/>
        </w:rPr>
        <w:t>Figure S22.</w:t>
      </w:r>
      <w:r>
        <w:rPr>
          <w:color w:val="000000" w:themeColor="text1"/>
          <w:sz w:val="24"/>
          <w:szCs w:val="24"/>
        </w:rPr>
        <w:t xml:space="preserve"> </w:t>
      </w:r>
      <w:r>
        <w:rPr>
          <w:rFonts w:hint="eastAsia"/>
          <w:b/>
          <w:bCs/>
          <w:color w:val="000000" w:themeColor="text1"/>
          <w:sz w:val="24"/>
          <w:szCs w:val="24"/>
        </w:rPr>
        <w:t>a</w:t>
      </w:r>
      <w:r>
        <w:rPr>
          <w:color w:val="000000" w:themeColor="text1"/>
          <w:sz w:val="24"/>
          <w:szCs w:val="24"/>
        </w:rPr>
        <w:t xml:space="preserve"> Refractive index n and </w:t>
      </w:r>
      <w:r>
        <w:rPr>
          <w:rFonts w:hint="eastAsia"/>
          <w:b/>
          <w:bCs/>
          <w:color w:val="000000" w:themeColor="text1"/>
          <w:sz w:val="24"/>
          <w:szCs w:val="24"/>
        </w:rPr>
        <w:t>b</w:t>
      </w:r>
      <w:r>
        <w:rPr>
          <w:color w:val="000000" w:themeColor="text1"/>
          <w:sz w:val="24"/>
          <w:szCs w:val="24"/>
        </w:rPr>
        <w:t xml:space="preserve"> extinction coefficient k of each function layer. </w:t>
      </w:r>
      <w:r>
        <w:rPr>
          <w:rFonts w:hint="eastAsia"/>
          <w:b/>
          <w:bCs/>
          <w:color w:val="000000" w:themeColor="text1"/>
          <w:sz w:val="24"/>
          <w:szCs w:val="24"/>
        </w:rPr>
        <w:t xml:space="preserve">c </w:t>
      </w:r>
      <w:r>
        <w:rPr>
          <w:color w:val="000000" w:themeColor="text1"/>
          <w:sz w:val="24"/>
          <w:szCs w:val="24"/>
        </w:rPr>
        <w:t>Relative ratios of each mode in 657 nm-PeLED without versus ETL (PO-T2T) thickness</w:t>
      </w:r>
    </w:p>
    <w:p w:rsidR="00B45810" w:rsidRDefault="00E57649">
      <w:pPr>
        <w:spacing w:after="312"/>
        <w:ind w:firstLineChars="0" w:firstLine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As shown in the profile, the light extraction efficiency of our device is 35.5% when the thickne</w:t>
      </w:r>
      <w:r>
        <w:rPr>
          <w:color w:val="000000" w:themeColor="text1"/>
          <w:sz w:val="24"/>
          <w:szCs w:val="24"/>
        </w:rPr>
        <w:t xml:space="preserve">ss of PO-T2T&amp;TmPyPB is 45nm, which is exactly the thickness of our devices shown in </w:t>
      </w:r>
      <w:r>
        <w:rPr>
          <w:b/>
          <w:bCs/>
          <w:color w:val="000000" w:themeColor="text1"/>
          <w:sz w:val="24"/>
          <w:szCs w:val="24"/>
        </w:rPr>
        <w:t>Figure S12</w:t>
      </w:r>
      <w:bookmarkEnd w:id="33"/>
    </w:p>
    <w:p w:rsidR="00B45810" w:rsidRDefault="00E57649">
      <w:pPr>
        <w:spacing w:after="312"/>
        <w:ind w:firstLineChars="0" w:firstLine="0"/>
        <w:jc w:val="center"/>
      </w:pPr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3140710" cy="1637665"/>
            <wp:effectExtent l="0" t="0" r="2540" b="635"/>
            <wp:docPr id="183736185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361852" name="图片 29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790" cy="1647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spacing w:after="312"/>
        <w:ind w:firstLineChars="0" w:firstLine="0"/>
        <w:rPr>
          <w:sz w:val="24"/>
          <w:szCs w:val="28"/>
        </w:rPr>
      </w:pPr>
      <w:r>
        <w:rPr>
          <w:b/>
          <w:bCs/>
          <w:sz w:val="24"/>
          <w:szCs w:val="28"/>
        </w:rPr>
        <w:t>Figure S23.</w:t>
      </w:r>
      <w:r>
        <w:rPr>
          <w:sz w:val="24"/>
          <w:szCs w:val="28"/>
        </w:rPr>
        <w:t xml:space="preserve"> Angular dependent electroluminescence (EL) intensity of red PeLED</w:t>
      </w:r>
    </w:p>
    <w:p w:rsidR="00B45810" w:rsidRDefault="00E57649">
      <w:pPr>
        <w:pStyle w:val="NoSpacing"/>
        <w:spacing w:after="312"/>
      </w:pPr>
      <w:bookmarkStart w:id="34" w:name="_Hlk205993870"/>
      <w:bookmarkEnd w:id="22"/>
      <w:bookmarkEnd w:id="32"/>
      <w:r>
        <w:rPr>
          <w:noProof/>
          <w:lang w:val="en-IN" w:eastAsia="en-IN"/>
          <w14:ligatures w14:val="standardContextual"/>
        </w:rPr>
        <w:drawing>
          <wp:inline distT="0" distB="0" distL="0" distR="0">
            <wp:extent cx="2940685" cy="2188845"/>
            <wp:effectExtent l="0" t="0" r="0" b="0"/>
            <wp:docPr id="79809926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099261" name="图片 30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578" cy="2193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  <w:rPr>
          <w:b w:val="0"/>
          <w:bCs/>
        </w:rPr>
      </w:pPr>
      <w:r>
        <w:t xml:space="preserve">Figure S24. </w:t>
      </w:r>
      <w:bookmarkStart w:id="35" w:name="_Hlk208699940"/>
      <w:r>
        <w:rPr>
          <w:b w:val="0"/>
          <w:bCs/>
        </w:rPr>
        <w:t>The operational lifetime of PeLEDs based on control QDs and treated</w:t>
      </w:r>
      <w:r>
        <w:rPr>
          <w:b w:val="0"/>
          <w:bCs/>
        </w:rPr>
        <w:t xml:space="preserve"> QDs (640 nm)</w:t>
      </w:r>
      <w:bookmarkEnd w:id="35"/>
    </w:p>
    <w:p w:rsidR="00B45810" w:rsidRDefault="00E57649">
      <w:pPr>
        <w:pStyle w:val="a1"/>
        <w:jc w:val="center"/>
      </w:pPr>
      <w:r>
        <w:rPr>
          <w:noProof/>
          <w:lang w:val="en-IN" w:eastAsia="en-IN"/>
        </w:rPr>
        <w:drawing>
          <wp:inline distT="0" distB="0" distL="0" distR="0">
            <wp:extent cx="3329940" cy="2584450"/>
            <wp:effectExtent l="0" t="0" r="0" b="0"/>
            <wp:docPr id="81627632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276321" name="图片 31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834" cy="258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810" w:rsidRDefault="00E57649">
      <w:pPr>
        <w:pStyle w:val="a1"/>
      </w:pPr>
      <w:r>
        <w:t>Figure S25.</w:t>
      </w:r>
      <w:r>
        <w:rPr>
          <w:b w:val="0"/>
          <w:bCs/>
        </w:rPr>
        <w:t xml:space="preserve"> The operational lifetime of PeLEDs based on control QDs and treated QDs (657 nm)</w:t>
      </w:r>
    </w:p>
    <w:bookmarkEnd w:id="34"/>
    <w:p w:rsidR="00B45810" w:rsidRDefault="00E57649">
      <w:pPr>
        <w:widowControl/>
        <w:spacing w:afterLines="0" w:after="160" w:line="278" w:lineRule="auto"/>
        <w:ind w:firstLineChars="0" w:firstLine="0"/>
        <w:jc w:val="left"/>
        <w:rPr>
          <w:sz w:val="24"/>
          <w:szCs w:val="28"/>
        </w:rPr>
      </w:pPr>
      <w:r>
        <w:br w:type="page"/>
      </w:r>
      <w:r>
        <w:rPr>
          <w:b/>
          <w:bCs/>
          <w:sz w:val="24"/>
          <w:szCs w:val="28"/>
        </w:rPr>
        <w:t>Table S1</w:t>
      </w:r>
      <w:r>
        <w:rPr>
          <w:rFonts w:hint="eastAsia"/>
          <w:b/>
          <w:bCs/>
          <w:sz w:val="24"/>
          <w:szCs w:val="28"/>
        </w:rPr>
        <w:t>.</w:t>
      </w:r>
      <w:r>
        <w:rPr>
          <w:b/>
          <w:bCs/>
          <w:sz w:val="24"/>
          <w:szCs w:val="28"/>
        </w:rPr>
        <w:t xml:space="preserve"> </w:t>
      </w:r>
      <w:bookmarkStart w:id="36" w:name="_Hlk208691447"/>
      <w:r>
        <w:rPr>
          <w:sz w:val="24"/>
          <w:szCs w:val="28"/>
        </w:rPr>
        <w:t>Fitting data of the PL Decay measurement.</w:t>
      </w:r>
      <w:bookmarkEnd w:id="36"/>
    </w:p>
    <w:p w:rsidR="00B45810" w:rsidRDefault="00B45810">
      <w:pPr>
        <w:widowControl/>
        <w:spacing w:afterLines="0" w:after="160" w:line="278" w:lineRule="auto"/>
        <w:ind w:firstLineChars="0" w:firstLine="0"/>
        <w:jc w:val="left"/>
        <w:rPr>
          <w:b/>
          <w:bCs/>
        </w:rPr>
      </w:pPr>
    </w:p>
    <w:tbl>
      <w:tblPr>
        <w:tblW w:w="1063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2"/>
        <w:gridCol w:w="1748"/>
        <w:gridCol w:w="1749"/>
        <w:gridCol w:w="1748"/>
        <w:gridCol w:w="1748"/>
        <w:gridCol w:w="1607"/>
      </w:tblGrid>
      <w:tr w:rsidR="00B45810">
        <w:trPr>
          <w:trHeight w:val="567"/>
          <w:jc w:val="center"/>
        </w:trPr>
        <w:tc>
          <w:tcPr>
            <w:tcW w:w="2032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</w:pPr>
            <w:bookmarkStart w:id="37" w:name="_Hlk208688809"/>
            <w:bookmarkStart w:id="38" w:name="_Hlk204657451"/>
            <w:r>
              <w:t>Sample</w:t>
            </w:r>
          </w:p>
        </w:tc>
        <w:tc>
          <w:tcPr>
            <w:tcW w:w="1748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</w:pPr>
            <w:r>
              <w:t>A</w:t>
            </w:r>
            <w:r>
              <w:rPr>
                <w:vertAlign w:val="subscript"/>
              </w:rPr>
              <w:t>1</w:t>
            </w:r>
            <w:r>
              <w:t>(%)</w:t>
            </w:r>
          </w:p>
        </w:tc>
        <w:tc>
          <w:tcPr>
            <w:tcW w:w="1749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</w:pPr>
            <w:r>
              <w:t>τ</w:t>
            </w:r>
            <w:r>
              <w:rPr>
                <w:vertAlign w:val="subscript"/>
              </w:rPr>
              <w:t>1</w:t>
            </w:r>
            <w:r>
              <w:t>(ns)</w:t>
            </w:r>
          </w:p>
        </w:tc>
        <w:tc>
          <w:tcPr>
            <w:tcW w:w="1748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</w:pPr>
            <w:r>
              <w:t>A</w:t>
            </w:r>
            <w:r>
              <w:rPr>
                <w:vertAlign w:val="subscript"/>
              </w:rPr>
              <w:t>2</w:t>
            </w:r>
            <w:r>
              <w:t>(%)</w:t>
            </w:r>
          </w:p>
        </w:tc>
        <w:tc>
          <w:tcPr>
            <w:tcW w:w="1748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</w:pPr>
            <w:r>
              <w:t>τ</w:t>
            </w:r>
            <w:r>
              <w:rPr>
                <w:vertAlign w:val="subscript"/>
              </w:rPr>
              <w:t xml:space="preserve">2 </w:t>
            </w:r>
            <w:r>
              <w:t>(ns)</w:t>
            </w:r>
          </w:p>
        </w:tc>
        <w:tc>
          <w:tcPr>
            <w:tcW w:w="1607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</w:pPr>
            <w:r>
              <w:t>τ</w:t>
            </w:r>
            <w:r>
              <w:rPr>
                <w:vertAlign w:val="subscript"/>
              </w:rPr>
              <w:t xml:space="preserve">ave </w:t>
            </w:r>
            <w:r>
              <w:t>(ns)</w:t>
            </w:r>
          </w:p>
        </w:tc>
      </w:tr>
      <w:bookmarkEnd w:id="37"/>
      <w:tr w:rsidR="00B45810">
        <w:trPr>
          <w:trHeight w:val="567"/>
          <w:jc w:val="center"/>
        </w:trPr>
        <w:tc>
          <w:tcPr>
            <w:tcW w:w="20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Control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100</w:t>
            </w:r>
          </w:p>
        </w:tc>
        <w:tc>
          <w:tcPr>
            <w:tcW w:w="1749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10.15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-</w:t>
            </w:r>
          </w:p>
        </w:tc>
        <w:tc>
          <w:tcPr>
            <w:tcW w:w="1748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-</w:t>
            </w:r>
          </w:p>
        </w:tc>
        <w:tc>
          <w:tcPr>
            <w:tcW w:w="1607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10.15</w:t>
            </w:r>
          </w:p>
        </w:tc>
      </w:tr>
      <w:tr w:rsidR="00B45810">
        <w:trPr>
          <w:trHeight w:val="567"/>
          <w:jc w:val="center"/>
        </w:trPr>
        <w:tc>
          <w:tcPr>
            <w:tcW w:w="203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Treated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100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13.62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-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-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5810" w:rsidRDefault="00E57649">
            <w:pPr>
              <w:pStyle w:val="a1"/>
              <w:rPr>
                <w:b w:val="0"/>
                <w:bCs/>
              </w:rPr>
            </w:pPr>
            <w:r>
              <w:rPr>
                <w:b w:val="0"/>
                <w:bCs/>
              </w:rPr>
              <w:t>13.62</w:t>
            </w:r>
          </w:p>
        </w:tc>
      </w:tr>
    </w:tbl>
    <w:bookmarkEnd w:id="38"/>
    <w:p w:rsidR="00B45810" w:rsidRDefault="00E57649">
      <w:pPr>
        <w:pStyle w:val="a1"/>
      </w:pPr>
      <w:r>
        <w:fldChar w:fldCharType="begin"/>
      </w:r>
      <w:r>
        <w:instrText xml:space="preserve"> ADDIN EN.REFLIST </w:instrText>
      </w:r>
      <w:r>
        <w:fldChar w:fldCharType="end"/>
      </w:r>
    </w:p>
    <w:sectPr w:rsidR="00B45810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1906" w:h="16838"/>
      <w:pgMar w:top="567" w:right="567" w:bottom="567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810" w:rsidRDefault="00E57649">
      <w:pPr>
        <w:spacing w:after="240" w:line="240" w:lineRule="auto"/>
        <w:ind w:firstLine="420"/>
      </w:pPr>
      <w:r>
        <w:separator/>
      </w:r>
    </w:p>
  </w:endnote>
  <w:endnote w:type="continuationSeparator" w:id="0">
    <w:p w:rsidR="00B45810" w:rsidRDefault="00E57649">
      <w:pPr>
        <w:spacing w:after="240"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SimSun"/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DengXian Light">
    <w:altName w:val="Microsoft YaHei UI"/>
    <w:charset w:val="86"/>
    <w:family w:val="auto"/>
    <w:pitch w:val="default"/>
    <w:sig w:usb0="00000000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Microsoft YaHei UI"/>
    <w:panose1 w:val="02010600030101010101"/>
    <w:charset w:val="86"/>
    <w:family w:val="auto"/>
    <w:pitch w:val="default"/>
    <w:sig w:usb0="00000000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810" w:rsidRDefault="00B45810">
    <w:pPr>
      <w:pStyle w:val="Footer"/>
      <w:spacing w:after="240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810" w:rsidRDefault="00B45810">
    <w:pPr>
      <w:pStyle w:val="Footer"/>
      <w:spacing w:after="240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810" w:rsidRDefault="00B45810">
    <w:pPr>
      <w:pStyle w:val="Footer"/>
      <w:spacing w:after="240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810" w:rsidRDefault="00E57649">
      <w:pPr>
        <w:spacing w:after="240"/>
        <w:ind w:firstLine="420"/>
      </w:pPr>
      <w:r>
        <w:separator/>
      </w:r>
    </w:p>
  </w:footnote>
  <w:footnote w:type="continuationSeparator" w:id="0">
    <w:p w:rsidR="00B45810" w:rsidRDefault="00E57649">
      <w:pPr>
        <w:spacing w:after="24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810" w:rsidRDefault="00B45810">
    <w:pPr>
      <w:pStyle w:val="Header"/>
      <w:spacing w:after="240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810" w:rsidRDefault="00B45810">
    <w:pPr>
      <w:pStyle w:val="Header"/>
      <w:spacing w:after="240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810" w:rsidRDefault="00B45810">
    <w:pPr>
      <w:pStyle w:val="Header"/>
      <w:spacing w:after="240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849F7"/>
    <w:multiLevelType w:val="multilevel"/>
    <w:tmpl w:val="2D5849F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ML格式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f2frrfvyd9rr5ereat5fz0qv90t90axtx0r&quot;&gt;我的EndNote库-20240912-已保存&lt;record-ids&gt;&lt;item&gt;16&lt;/item&gt;&lt;item&gt;79&lt;/item&gt;&lt;item&gt;87&lt;/item&gt;&lt;/record-ids&gt;&lt;/item&gt;&lt;/Libraries&gt;"/>
  </w:docVars>
  <w:rsids>
    <w:rsidRoot w:val="00BA2CFF"/>
    <w:rsid w:val="00013395"/>
    <w:rsid w:val="00017AA5"/>
    <w:rsid w:val="0002164C"/>
    <w:rsid w:val="000302B9"/>
    <w:rsid w:val="00032170"/>
    <w:rsid w:val="00035A7D"/>
    <w:rsid w:val="00036546"/>
    <w:rsid w:val="00047816"/>
    <w:rsid w:val="00051EE6"/>
    <w:rsid w:val="000562E3"/>
    <w:rsid w:val="00063600"/>
    <w:rsid w:val="00067E47"/>
    <w:rsid w:val="00070E9D"/>
    <w:rsid w:val="00073AAE"/>
    <w:rsid w:val="00074682"/>
    <w:rsid w:val="000821B3"/>
    <w:rsid w:val="00085889"/>
    <w:rsid w:val="000A1479"/>
    <w:rsid w:val="000A34FE"/>
    <w:rsid w:val="000A3642"/>
    <w:rsid w:val="000A3C10"/>
    <w:rsid w:val="000A6367"/>
    <w:rsid w:val="000B0371"/>
    <w:rsid w:val="000B7A3F"/>
    <w:rsid w:val="000B7E64"/>
    <w:rsid w:val="000C049A"/>
    <w:rsid w:val="000C32FD"/>
    <w:rsid w:val="000C3CA8"/>
    <w:rsid w:val="000C4047"/>
    <w:rsid w:val="000C68B4"/>
    <w:rsid w:val="000D141D"/>
    <w:rsid w:val="000E0726"/>
    <w:rsid w:val="000F04D4"/>
    <w:rsid w:val="000F67B0"/>
    <w:rsid w:val="001210DE"/>
    <w:rsid w:val="001276C7"/>
    <w:rsid w:val="00137AB0"/>
    <w:rsid w:val="0014246F"/>
    <w:rsid w:val="00146724"/>
    <w:rsid w:val="001506E7"/>
    <w:rsid w:val="00151C11"/>
    <w:rsid w:val="00152113"/>
    <w:rsid w:val="001544BF"/>
    <w:rsid w:val="00154C4D"/>
    <w:rsid w:val="00157882"/>
    <w:rsid w:val="00170E1C"/>
    <w:rsid w:val="00174979"/>
    <w:rsid w:val="00181553"/>
    <w:rsid w:val="00186F4B"/>
    <w:rsid w:val="00187B52"/>
    <w:rsid w:val="00187DA2"/>
    <w:rsid w:val="00194618"/>
    <w:rsid w:val="001959E8"/>
    <w:rsid w:val="001B1D80"/>
    <w:rsid w:val="001B2D50"/>
    <w:rsid w:val="001C036C"/>
    <w:rsid w:val="001C1115"/>
    <w:rsid w:val="001C750D"/>
    <w:rsid w:val="001C7C22"/>
    <w:rsid w:val="001D152C"/>
    <w:rsid w:val="001D31C8"/>
    <w:rsid w:val="001E5E64"/>
    <w:rsid w:val="001E7D9F"/>
    <w:rsid w:val="001F533E"/>
    <w:rsid w:val="001F7BFA"/>
    <w:rsid w:val="0020154F"/>
    <w:rsid w:val="00204369"/>
    <w:rsid w:val="002228B1"/>
    <w:rsid w:val="00223BD9"/>
    <w:rsid w:val="00234D52"/>
    <w:rsid w:val="0024286A"/>
    <w:rsid w:val="00243B56"/>
    <w:rsid w:val="00246E15"/>
    <w:rsid w:val="0026090F"/>
    <w:rsid w:val="002663E8"/>
    <w:rsid w:val="00276099"/>
    <w:rsid w:val="002835C7"/>
    <w:rsid w:val="0029074F"/>
    <w:rsid w:val="00290BF5"/>
    <w:rsid w:val="002925BB"/>
    <w:rsid w:val="002952B5"/>
    <w:rsid w:val="0029534F"/>
    <w:rsid w:val="002A05F8"/>
    <w:rsid w:val="002A1DCC"/>
    <w:rsid w:val="002A3C0A"/>
    <w:rsid w:val="002B1995"/>
    <w:rsid w:val="002B4B71"/>
    <w:rsid w:val="002B4CE2"/>
    <w:rsid w:val="002B5CC8"/>
    <w:rsid w:val="002C1680"/>
    <w:rsid w:val="002C22D7"/>
    <w:rsid w:val="002C415C"/>
    <w:rsid w:val="002D1A7F"/>
    <w:rsid w:val="002D4CC2"/>
    <w:rsid w:val="002E3EA1"/>
    <w:rsid w:val="002E446F"/>
    <w:rsid w:val="002F06A9"/>
    <w:rsid w:val="002F76CC"/>
    <w:rsid w:val="0030318F"/>
    <w:rsid w:val="00307611"/>
    <w:rsid w:val="00320E4B"/>
    <w:rsid w:val="00335550"/>
    <w:rsid w:val="003404AC"/>
    <w:rsid w:val="003436B7"/>
    <w:rsid w:val="00347304"/>
    <w:rsid w:val="00367BBD"/>
    <w:rsid w:val="00371303"/>
    <w:rsid w:val="003713A5"/>
    <w:rsid w:val="00371E8D"/>
    <w:rsid w:val="00372E4C"/>
    <w:rsid w:val="003929C2"/>
    <w:rsid w:val="00395A32"/>
    <w:rsid w:val="00397B31"/>
    <w:rsid w:val="00397CC1"/>
    <w:rsid w:val="00397DED"/>
    <w:rsid w:val="003A3BFA"/>
    <w:rsid w:val="003A440A"/>
    <w:rsid w:val="003A4AD6"/>
    <w:rsid w:val="003A68F7"/>
    <w:rsid w:val="003B0B72"/>
    <w:rsid w:val="003B4F8D"/>
    <w:rsid w:val="003C04F1"/>
    <w:rsid w:val="003C5049"/>
    <w:rsid w:val="003C6668"/>
    <w:rsid w:val="003C79AA"/>
    <w:rsid w:val="003D252C"/>
    <w:rsid w:val="003E42E1"/>
    <w:rsid w:val="003F6CF9"/>
    <w:rsid w:val="0040084E"/>
    <w:rsid w:val="0040090C"/>
    <w:rsid w:val="00402B01"/>
    <w:rsid w:val="0041231C"/>
    <w:rsid w:val="00413F96"/>
    <w:rsid w:val="00415A88"/>
    <w:rsid w:val="004221AE"/>
    <w:rsid w:val="004250DD"/>
    <w:rsid w:val="0043013F"/>
    <w:rsid w:val="0045451D"/>
    <w:rsid w:val="004566DF"/>
    <w:rsid w:val="004574E4"/>
    <w:rsid w:val="00467A49"/>
    <w:rsid w:val="00482335"/>
    <w:rsid w:val="00486152"/>
    <w:rsid w:val="00490F7A"/>
    <w:rsid w:val="004978F7"/>
    <w:rsid w:val="004A7CF9"/>
    <w:rsid w:val="004B0689"/>
    <w:rsid w:val="004B35BF"/>
    <w:rsid w:val="004B65EB"/>
    <w:rsid w:val="004D0BA9"/>
    <w:rsid w:val="004D0C3C"/>
    <w:rsid w:val="004D1A57"/>
    <w:rsid w:val="004D2264"/>
    <w:rsid w:val="004D4B03"/>
    <w:rsid w:val="004E1C9B"/>
    <w:rsid w:val="004E4EC7"/>
    <w:rsid w:val="00502748"/>
    <w:rsid w:val="00503704"/>
    <w:rsid w:val="00510158"/>
    <w:rsid w:val="00510435"/>
    <w:rsid w:val="00511FC1"/>
    <w:rsid w:val="005127C8"/>
    <w:rsid w:val="00513EC6"/>
    <w:rsid w:val="00516C41"/>
    <w:rsid w:val="00527F48"/>
    <w:rsid w:val="0053310D"/>
    <w:rsid w:val="00534376"/>
    <w:rsid w:val="0054001E"/>
    <w:rsid w:val="00541DD0"/>
    <w:rsid w:val="005636D0"/>
    <w:rsid w:val="00563F4C"/>
    <w:rsid w:val="0056642B"/>
    <w:rsid w:val="00570D9E"/>
    <w:rsid w:val="00571E05"/>
    <w:rsid w:val="0057571C"/>
    <w:rsid w:val="00576D2B"/>
    <w:rsid w:val="005852E8"/>
    <w:rsid w:val="00594DF3"/>
    <w:rsid w:val="005A123D"/>
    <w:rsid w:val="005B0AFE"/>
    <w:rsid w:val="005B16C9"/>
    <w:rsid w:val="005B6D2B"/>
    <w:rsid w:val="005B728D"/>
    <w:rsid w:val="005C13FE"/>
    <w:rsid w:val="005D226A"/>
    <w:rsid w:val="005D7BB1"/>
    <w:rsid w:val="005F30BF"/>
    <w:rsid w:val="005F4989"/>
    <w:rsid w:val="005F4E38"/>
    <w:rsid w:val="005F4EFC"/>
    <w:rsid w:val="005F63C8"/>
    <w:rsid w:val="006005BA"/>
    <w:rsid w:val="006049B9"/>
    <w:rsid w:val="006053DD"/>
    <w:rsid w:val="00607F35"/>
    <w:rsid w:val="00625969"/>
    <w:rsid w:val="00627DE3"/>
    <w:rsid w:val="00630A8A"/>
    <w:rsid w:val="00641604"/>
    <w:rsid w:val="006445D0"/>
    <w:rsid w:val="00651CA7"/>
    <w:rsid w:val="00682C0E"/>
    <w:rsid w:val="00684057"/>
    <w:rsid w:val="00691A31"/>
    <w:rsid w:val="00697225"/>
    <w:rsid w:val="006A063D"/>
    <w:rsid w:val="006A6441"/>
    <w:rsid w:val="006B4B1F"/>
    <w:rsid w:val="006C5A15"/>
    <w:rsid w:val="006C5ECB"/>
    <w:rsid w:val="006C6ECF"/>
    <w:rsid w:val="006D10A1"/>
    <w:rsid w:val="006D2D96"/>
    <w:rsid w:val="006E19A5"/>
    <w:rsid w:val="006F0C5F"/>
    <w:rsid w:val="006F27CA"/>
    <w:rsid w:val="006F3D7B"/>
    <w:rsid w:val="007024E6"/>
    <w:rsid w:val="0071256F"/>
    <w:rsid w:val="00721040"/>
    <w:rsid w:val="00721BDD"/>
    <w:rsid w:val="00723894"/>
    <w:rsid w:val="0072628F"/>
    <w:rsid w:val="007276F0"/>
    <w:rsid w:val="00727D78"/>
    <w:rsid w:val="00727E71"/>
    <w:rsid w:val="00734942"/>
    <w:rsid w:val="00745970"/>
    <w:rsid w:val="007478D7"/>
    <w:rsid w:val="00747BFA"/>
    <w:rsid w:val="00755454"/>
    <w:rsid w:val="007641AF"/>
    <w:rsid w:val="007648CE"/>
    <w:rsid w:val="0076522D"/>
    <w:rsid w:val="00767319"/>
    <w:rsid w:val="0077165A"/>
    <w:rsid w:val="00775777"/>
    <w:rsid w:val="00793644"/>
    <w:rsid w:val="007940AF"/>
    <w:rsid w:val="007A369C"/>
    <w:rsid w:val="007A67DA"/>
    <w:rsid w:val="007B0846"/>
    <w:rsid w:val="007B0A8B"/>
    <w:rsid w:val="007B2AB4"/>
    <w:rsid w:val="007B765E"/>
    <w:rsid w:val="007C59A4"/>
    <w:rsid w:val="007C7996"/>
    <w:rsid w:val="007D3E94"/>
    <w:rsid w:val="007E5162"/>
    <w:rsid w:val="007E6707"/>
    <w:rsid w:val="007F310B"/>
    <w:rsid w:val="007F6CC4"/>
    <w:rsid w:val="00802B6A"/>
    <w:rsid w:val="008061A8"/>
    <w:rsid w:val="00811282"/>
    <w:rsid w:val="00811438"/>
    <w:rsid w:val="00814584"/>
    <w:rsid w:val="008148B8"/>
    <w:rsid w:val="00822A97"/>
    <w:rsid w:val="008316AD"/>
    <w:rsid w:val="008347DF"/>
    <w:rsid w:val="00837C6D"/>
    <w:rsid w:val="00850CAE"/>
    <w:rsid w:val="00853D3E"/>
    <w:rsid w:val="0085778F"/>
    <w:rsid w:val="0086653F"/>
    <w:rsid w:val="00866EC0"/>
    <w:rsid w:val="00870ADD"/>
    <w:rsid w:val="00876347"/>
    <w:rsid w:val="00876D25"/>
    <w:rsid w:val="00881E07"/>
    <w:rsid w:val="008829E8"/>
    <w:rsid w:val="008866D8"/>
    <w:rsid w:val="0088724C"/>
    <w:rsid w:val="00890B31"/>
    <w:rsid w:val="008910C7"/>
    <w:rsid w:val="008921E7"/>
    <w:rsid w:val="008A3756"/>
    <w:rsid w:val="008A7506"/>
    <w:rsid w:val="008B3D0E"/>
    <w:rsid w:val="008C14DE"/>
    <w:rsid w:val="008C4B9D"/>
    <w:rsid w:val="008D35DC"/>
    <w:rsid w:val="008E01C1"/>
    <w:rsid w:val="008E79D0"/>
    <w:rsid w:val="00901284"/>
    <w:rsid w:val="00902762"/>
    <w:rsid w:val="00917BCD"/>
    <w:rsid w:val="0092140F"/>
    <w:rsid w:val="00934877"/>
    <w:rsid w:val="00934AD1"/>
    <w:rsid w:val="00945EA0"/>
    <w:rsid w:val="00946E3E"/>
    <w:rsid w:val="00950008"/>
    <w:rsid w:val="009535CA"/>
    <w:rsid w:val="00953A8F"/>
    <w:rsid w:val="009575F2"/>
    <w:rsid w:val="00975D97"/>
    <w:rsid w:val="009761BC"/>
    <w:rsid w:val="009808CE"/>
    <w:rsid w:val="00983761"/>
    <w:rsid w:val="00996507"/>
    <w:rsid w:val="009966FD"/>
    <w:rsid w:val="009A44FE"/>
    <w:rsid w:val="009A7ABB"/>
    <w:rsid w:val="009B2CF4"/>
    <w:rsid w:val="009B6DD6"/>
    <w:rsid w:val="009C084A"/>
    <w:rsid w:val="009C477E"/>
    <w:rsid w:val="009C6823"/>
    <w:rsid w:val="009D5668"/>
    <w:rsid w:val="009D64D6"/>
    <w:rsid w:val="009D7B45"/>
    <w:rsid w:val="009E0103"/>
    <w:rsid w:val="009E4D33"/>
    <w:rsid w:val="009E641C"/>
    <w:rsid w:val="009F0977"/>
    <w:rsid w:val="00A010A8"/>
    <w:rsid w:val="00A0528D"/>
    <w:rsid w:val="00A069C0"/>
    <w:rsid w:val="00A21F9E"/>
    <w:rsid w:val="00A372CF"/>
    <w:rsid w:val="00A42D60"/>
    <w:rsid w:val="00A431D3"/>
    <w:rsid w:val="00A46B33"/>
    <w:rsid w:val="00A5106B"/>
    <w:rsid w:val="00A579E8"/>
    <w:rsid w:val="00A6264B"/>
    <w:rsid w:val="00A72F9E"/>
    <w:rsid w:val="00A7752E"/>
    <w:rsid w:val="00A801D8"/>
    <w:rsid w:val="00A835E1"/>
    <w:rsid w:val="00AA08E9"/>
    <w:rsid w:val="00AA1DBB"/>
    <w:rsid w:val="00AA7B6E"/>
    <w:rsid w:val="00AB218A"/>
    <w:rsid w:val="00AB3AAB"/>
    <w:rsid w:val="00AB5810"/>
    <w:rsid w:val="00AB5E0C"/>
    <w:rsid w:val="00AC4F2C"/>
    <w:rsid w:val="00AD4336"/>
    <w:rsid w:val="00AD5A66"/>
    <w:rsid w:val="00AD5DFC"/>
    <w:rsid w:val="00AD7E65"/>
    <w:rsid w:val="00AE717B"/>
    <w:rsid w:val="00AF2960"/>
    <w:rsid w:val="00AF3A2C"/>
    <w:rsid w:val="00B03615"/>
    <w:rsid w:val="00B124A9"/>
    <w:rsid w:val="00B1269E"/>
    <w:rsid w:val="00B12E5A"/>
    <w:rsid w:val="00B1645A"/>
    <w:rsid w:val="00B17886"/>
    <w:rsid w:val="00B232DE"/>
    <w:rsid w:val="00B2386C"/>
    <w:rsid w:val="00B31FED"/>
    <w:rsid w:val="00B34504"/>
    <w:rsid w:val="00B45810"/>
    <w:rsid w:val="00B47FAC"/>
    <w:rsid w:val="00B50A7E"/>
    <w:rsid w:val="00B53712"/>
    <w:rsid w:val="00B642D1"/>
    <w:rsid w:val="00B65E2B"/>
    <w:rsid w:val="00B71D19"/>
    <w:rsid w:val="00B724F6"/>
    <w:rsid w:val="00B83468"/>
    <w:rsid w:val="00B873D4"/>
    <w:rsid w:val="00B951A9"/>
    <w:rsid w:val="00BA0C30"/>
    <w:rsid w:val="00BA20AE"/>
    <w:rsid w:val="00BA2CFF"/>
    <w:rsid w:val="00BA3D64"/>
    <w:rsid w:val="00BB2E5D"/>
    <w:rsid w:val="00BB417E"/>
    <w:rsid w:val="00BB52AD"/>
    <w:rsid w:val="00BC230D"/>
    <w:rsid w:val="00BD226D"/>
    <w:rsid w:val="00BD69B2"/>
    <w:rsid w:val="00BE6C78"/>
    <w:rsid w:val="00BF022C"/>
    <w:rsid w:val="00BF7573"/>
    <w:rsid w:val="00C023B6"/>
    <w:rsid w:val="00C115D0"/>
    <w:rsid w:val="00C12A0F"/>
    <w:rsid w:val="00C15D1C"/>
    <w:rsid w:val="00C24079"/>
    <w:rsid w:val="00C2488B"/>
    <w:rsid w:val="00C31194"/>
    <w:rsid w:val="00C31638"/>
    <w:rsid w:val="00C463C1"/>
    <w:rsid w:val="00C5124B"/>
    <w:rsid w:val="00C51997"/>
    <w:rsid w:val="00C547A3"/>
    <w:rsid w:val="00C60F9E"/>
    <w:rsid w:val="00C63B76"/>
    <w:rsid w:val="00C6717F"/>
    <w:rsid w:val="00C82B63"/>
    <w:rsid w:val="00C82F27"/>
    <w:rsid w:val="00C83B6C"/>
    <w:rsid w:val="00C87D0E"/>
    <w:rsid w:val="00C90D94"/>
    <w:rsid w:val="00CA067A"/>
    <w:rsid w:val="00CA4B93"/>
    <w:rsid w:val="00CC26E1"/>
    <w:rsid w:val="00CC4D90"/>
    <w:rsid w:val="00CC62BF"/>
    <w:rsid w:val="00CD041D"/>
    <w:rsid w:val="00CD2C05"/>
    <w:rsid w:val="00CD6D24"/>
    <w:rsid w:val="00CD7408"/>
    <w:rsid w:val="00CD78A2"/>
    <w:rsid w:val="00CE1629"/>
    <w:rsid w:val="00D04C34"/>
    <w:rsid w:val="00D05EEB"/>
    <w:rsid w:val="00D26510"/>
    <w:rsid w:val="00D30299"/>
    <w:rsid w:val="00D31289"/>
    <w:rsid w:val="00D373BE"/>
    <w:rsid w:val="00D41D3E"/>
    <w:rsid w:val="00D456EF"/>
    <w:rsid w:val="00D51A6D"/>
    <w:rsid w:val="00D60DF1"/>
    <w:rsid w:val="00D74EC1"/>
    <w:rsid w:val="00D77F02"/>
    <w:rsid w:val="00D81281"/>
    <w:rsid w:val="00D871C0"/>
    <w:rsid w:val="00DA2B37"/>
    <w:rsid w:val="00DA2E58"/>
    <w:rsid w:val="00DA3C64"/>
    <w:rsid w:val="00DA534D"/>
    <w:rsid w:val="00DB090F"/>
    <w:rsid w:val="00DC6409"/>
    <w:rsid w:val="00DD0694"/>
    <w:rsid w:val="00DD3EEC"/>
    <w:rsid w:val="00DD50F5"/>
    <w:rsid w:val="00DE0CD8"/>
    <w:rsid w:val="00DE0EF9"/>
    <w:rsid w:val="00DE519D"/>
    <w:rsid w:val="00DE642A"/>
    <w:rsid w:val="00DF110C"/>
    <w:rsid w:val="00DF5388"/>
    <w:rsid w:val="00E17201"/>
    <w:rsid w:val="00E17DC5"/>
    <w:rsid w:val="00E2525A"/>
    <w:rsid w:val="00E3110F"/>
    <w:rsid w:val="00E34FC3"/>
    <w:rsid w:val="00E37B12"/>
    <w:rsid w:val="00E40237"/>
    <w:rsid w:val="00E51ABA"/>
    <w:rsid w:val="00E57649"/>
    <w:rsid w:val="00E63384"/>
    <w:rsid w:val="00E64507"/>
    <w:rsid w:val="00E6471B"/>
    <w:rsid w:val="00E65A79"/>
    <w:rsid w:val="00E67C51"/>
    <w:rsid w:val="00E73D47"/>
    <w:rsid w:val="00E8594A"/>
    <w:rsid w:val="00E97266"/>
    <w:rsid w:val="00EA17E4"/>
    <w:rsid w:val="00EA3D15"/>
    <w:rsid w:val="00EA3DDC"/>
    <w:rsid w:val="00EC3474"/>
    <w:rsid w:val="00EE1C98"/>
    <w:rsid w:val="00EE33F3"/>
    <w:rsid w:val="00EE4D2D"/>
    <w:rsid w:val="00EF325A"/>
    <w:rsid w:val="00EF4B7B"/>
    <w:rsid w:val="00EF4DA5"/>
    <w:rsid w:val="00F147A6"/>
    <w:rsid w:val="00F15344"/>
    <w:rsid w:val="00F25500"/>
    <w:rsid w:val="00F31B7A"/>
    <w:rsid w:val="00F32A29"/>
    <w:rsid w:val="00F339AF"/>
    <w:rsid w:val="00F3467C"/>
    <w:rsid w:val="00F346DB"/>
    <w:rsid w:val="00F418E1"/>
    <w:rsid w:val="00F43868"/>
    <w:rsid w:val="00F43E3E"/>
    <w:rsid w:val="00F512C3"/>
    <w:rsid w:val="00F51A0A"/>
    <w:rsid w:val="00F638E6"/>
    <w:rsid w:val="00F66367"/>
    <w:rsid w:val="00F70243"/>
    <w:rsid w:val="00F86263"/>
    <w:rsid w:val="00F93580"/>
    <w:rsid w:val="00F93D18"/>
    <w:rsid w:val="00FA0D2D"/>
    <w:rsid w:val="00FA1E41"/>
    <w:rsid w:val="00FA4C31"/>
    <w:rsid w:val="00FC28F8"/>
    <w:rsid w:val="00FC384B"/>
    <w:rsid w:val="00FC4B3C"/>
    <w:rsid w:val="00FC4E04"/>
    <w:rsid w:val="00FD0DE3"/>
    <w:rsid w:val="00FD4BE0"/>
    <w:rsid w:val="00FD5541"/>
    <w:rsid w:val="00FF39AD"/>
    <w:rsid w:val="023F28E9"/>
    <w:rsid w:val="73B8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FBEB106-A1F0-45E7-A39D-6C9B7E76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pacing w:afterLines="100" w:after="100" w:line="300" w:lineRule="auto"/>
      <w:ind w:firstLineChars="200" w:firstLine="200"/>
      <w:jc w:val="both"/>
    </w:pPr>
    <w:rPr>
      <w:rFonts w:ascii="Times New Roman" w:eastAsia="DengXian" w:hAnsi="Times New Roman" w:cs="Times New Roman"/>
      <w:kern w:val="2"/>
      <w:sz w:val="21"/>
      <w:szCs w:val="22"/>
      <w:lang w:val="en-US" w:eastAsia="zh-CN"/>
    </w:rPr>
  </w:style>
  <w:style w:type="paragraph" w:styleId="Heading1">
    <w:name w:val="heading 1"/>
    <w:basedOn w:val="Normal"/>
    <w:next w:val="Normal"/>
    <w:link w:val="Heading1Char"/>
    <w:autoRedefine/>
    <w:qFormat/>
    <w:pPr>
      <w:keepNext/>
      <w:keepLines/>
      <w:spacing w:after="312" w:line="480" w:lineRule="auto"/>
      <w:ind w:firstLineChars="0" w:firstLine="0"/>
      <w:outlineLvl w:val="0"/>
    </w:pPr>
    <w:rPr>
      <w:b/>
      <w:bCs/>
      <w:kern w:val="44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pPr>
      <w:keepNext/>
      <w:keepLines/>
      <w:spacing w:before="260" w:after="260" w:line="416" w:lineRule="auto"/>
      <w:outlineLvl w:val="1"/>
    </w:pPr>
    <w:rPr>
      <w:rFonts w:eastAsiaTheme="majorEastAsia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qFormat/>
    <w:pPr>
      <w:spacing w:before="240" w:afterLines="0" w:after="240"/>
      <w:ind w:firstLine="643"/>
      <w:jc w:val="left"/>
    </w:pPr>
    <w:rPr>
      <w:rFonts w:eastAsiaTheme="minorEastAsia" w:cstheme="minorBid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pPr>
      <w:spacing w:before="0" w:afterLines="100" w:after="100"/>
      <w:ind w:firstLine="200"/>
    </w:pPr>
    <w:rPr>
      <w:rFonts w:eastAsia="DengXian" w:cs="Times New Roman"/>
      <w:b/>
      <w:bCs/>
      <w:sz w:val="21"/>
      <w:szCs w:val="22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qFormat/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character" w:styleId="CommentReference">
    <w:name w:val="annotation reference"/>
    <w:basedOn w:val="DefaultParagraphFont"/>
    <w:qFormat/>
    <w:rPr>
      <w:sz w:val="21"/>
      <w:szCs w:val="21"/>
    </w:rPr>
  </w:style>
  <w:style w:type="paragraph" w:customStyle="1" w:styleId="a">
    <w:name w:val="参考文献"/>
    <w:basedOn w:val="Normal"/>
    <w:link w:val="a0"/>
    <w:autoRedefine/>
    <w:qFormat/>
    <w:pPr>
      <w:spacing w:before="120" w:afterLines="0" w:after="120"/>
    </w:pPr>
    <w:rPr>
      <w:rFonts w:asciiTheme="minorHAnsi" w:eastAsiaTheme="minorEastAsia" w:hAnsiTheme="minorHAnsi" w:cstheme="minorBidi"/>
      <w:sz w:val="24"/>
      <w:szCs w:val="24"/>
      <w14:ligatures w14:val="standardContextual"/>
    </w:rPr>
  </w:style>
  <w:style w:type="character" w:customStyle="1" w:styleId="a0">
    <w:name w:val="参考文献 字符"/>
    <w:basedOn w:val="DefaultParagraphFont"/>
    <w:link w:val="a"/>
    <w:qFormat/>
    <w:rPr>
      <w:sz w:val="24"/>
    </w:r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DengXian" w:hAnsi="Times New Roman" w:cs="Times New Roman"/>
      <w:b/>
      <w:bCs/>
      <w:kern w:val="44"/>
      <w:sz w:val="28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Times New Roman" w:eastAsiaTheme="majorEastAsia" w:hAnsi="Times New Roman" w:cstheme="majorBidi"/>
      <w:b/>
      <w:bCs/>
      <w:sz w:val="32"/>
      <w:szCs w:val="32"/>
    </w:rPr>
  </w:style>
  <w:style w:type="paragraph" w:customStyle="1" w:styleId="a1">
    <w:name w:val="图注"/>
    <w:basedOn w:val="Normal"/>
    <w:link w:val="a2"/>
    <w:autoRedefine/>
    <w:qFormat/>
    <w:pPr>
      <w:spacing w:after="312"/>
      <w:ind w:firstLineChars="0" w:firstLine="0"/>
    </w:pPr>
    <w:rPr>
      <w:b/>
      <w:sz w:val="24"/>
      <w:szCs w:val="28"/>
    </w:rPr>
  </w:style>
  <w:style w:type="character" w:customStyle="1" w:styleId="a2">
    <w:name w:val="图注 字符"/>
    <w:basedOn w:val="DefaultParagraphFont"/>
    <w:link w:val="a1"/>
    <w:qFormat/>
    <w:rPr>
      <w:rFonts w:ascii="Times New Roman" w:eastAsia="DengXian" w:hAnsi="Times New Roman" w:cs="Times New Roman"/>
      <w:b/>
      <w:sz w:val="24"/>
      <w:szCs w:val="28"/>
      <w14:ligatures w14:val="none"/>
    </w:rPr>
  </w:style>
  <w:style w:type="character" w:customStyle="1" w:styleId="CommentTextChar">
    <w:name w:val="Comment Text Char"/>
    <w:basedOn w:val="DefaultParagraphFont"/>
    <w:link w:val="CommentText"/>
    <w:qFormat/>
    <w:rPr>
      <w:rFonts w:ascii="Times New Roman" w:hAnsi="Times New Roman"/>
      <w:sz w:val="24"/>
      <w14:ligatures w14:val="none"/>
    </w:rPr>
  </w:style>
  <w:style w:type="paragraph" w:styleId="ListParagraph">
    <w:name w:val="List Paragraph"/>
    <w:basedOn w:val="Normal"/>
    <w:uiPriority w:val="34"/>
    <w:qFormat/>
    <w:pPr>
      <w:widowControl/>
      <w:spacing w:before="240" w:afterLines="0" w:after="160" w:line="259" w:lineRule="auto"/>
      <w:ind w:firstLine="420"/>
      <w:jc w:val="left"/>
    </w:pPr>
    <w:rPr>
      <w:rFonts w:ascii="Calibri" w:hAnsi="Calibri"/>
      <w:kern w:val="0"/>
      <w:sz w:val="22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rFonts w:ascii="Times New Roman" w:eastAsia="DengXian" w:hAnsi="Times New Roman" w:cs="Times New Roman"/>
      <w:b/>
      <w:bCs/>
      <w:sz w:val="21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DengXian" w:hAnsi="Times New Roman" w:cs="Times New Roman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DengXian" w:hAnsi="Times New Roman" w:cs="Times New Roman"/>
      <w:sz w:val="18"/>
      <w:szCs w:val="18"/>
      <w14:ligatures w14:val="none"/>
    </w:rPr>
  </w:style>
  <w:style w:type="character" w:customStyle="1" w:styleId="15">
    <w:name w:val="15"/>
    <w:basedOn w:val="DefaultParagraphFont"/>
    <w:rPr>
      <w:rFonts w:ascii="Times New Roman" w:hAnsi="Times New Roman" w:cs="Times New Roman" w:hint="default"/>
      <w:color w:val="0000FF"/>
      <w:u w:val="single"/>
    </w:rPr>
  </w:style>
  <w:style w:type="table" w:customStyle="1" w:styleId="PlainTable21">
    <w:name w:val="Plain Table 21"/>
    <w:basedOn w:val="TableNormal"/>
    <w:uiPriority w:val="42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NoSpacing">
    <w:name w:val="No Spacing"/>
    <w:uiPriority w:val="1"/>
    <w:qFormat/>
    <w:pPr>
      <w:widowControl w:val="0"/>
      <w:spacing w:afterLines="100" w:after="100"/>
      <w:jc w:val="center"/>
    </w:pPr>
    <w:rPr>
      <w:rFonts w:ascii="Times New Roman" w:eastAsiaTheme="majorEastAsia" w:hAnsi="Times New Roman" w:cs="Times New Roman"/>
      <w:kern w:val="2"/>
      <w:sz w:val="21"/>
      <w:szCs w:val="22"/>
      <w:lang w:val="en-US" w:eastAsia="zh-CN"/>
    </w:rPr>
  </w:style>
  <w:style w:type="paragraph" w:customStyle="1" w:styleId="acbfdd8b-e11b-4d36-88ff-6049b138f862">
    <w:name w:val="acbfdd8b-e11b-4d36-88ff-6049b138f862"/>
    <w:basedOn w:val="Normal"/>
    <w:link w:val="acbfdd8b-e11b-4d36-88ff-6049b138f8620"/>
    <w:qFormat/>
    <w:pPr>
      <w:adjustRightInd w:val="0"/>
      <w:spacing w:after="0" w:line="288" w:lineRule="auto"/>
      <w:ind w:firstLine="0"/>
      <w:jc w:val="left"/>
    </w:pPr>
    <w:rPr>
      <w:rFonts w:ascii="Microsoft YaHei" w:eastAsia="Microsoft YaHei" w:hAnsi="Microsoft YaHei"/>
      <w:color w:val="000000"/>
      <w:sz w:val="22"/>
    </w:rPr>
  </w:style>
  <w:style w:type="character" w:customStyle="1" w:styleId="acbfdd8b-e11b-4d36-88ff-6049b138f8620">
    <w:name w:val="acbfdd8b-e11b-4d36-88ff-6049b138f862 字符"/>
    <w:basedOn w:val="a2"/>
    <w:link w:val="acbfdd8b-e11b-4d36-88ff-6049b138f862"/>
    <w:qFormat/>
    <w:rPr>
      <w:rFonts w:ascii="Microsoft YaHei" w:eastAsia="Microsoft YaHei" w:hAnsi="Microsoft YaHei" w:cs="Times New Roman"/>
      <w:b w:val="0"/>
      <w:color w:val="000000"/>
      <w:sz w:val="21"/>
      <w:szCs w:val="22"/>
      <w14:ligatures w14:val="none"/>
    </w:rPr>
  </w:style>
  <w:style w:type="paragraph" w:customStyle="1" w:styleId="EndNoteBibliographyTitle">
    <w:name w:val="EndNote Bibliography Title"/>
    <w:basedOn w:val="Normal"/>
    <w:link w:val="EndNoteBibliographyTitle0"/>
    <w:pPr>
      <w:spacing w:after="0"/>
      <w:jc w:val="center"/>
    </w:pPr>
    <w:rPr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Pr>
      <w:rFonts w:ascii="Times New Roman" w:eastAsia="DengXian" w:hAnsi="Times New Roman" w:cs="Times New Roman"/>
      <w:sz w:val="20"/>
      <w:szCs w:val="22"/>
      <w14:ligatures w14:val="none"/>
    </w:rPr>
  </w:style>
  <w:style w:type="paragraph" w:customStyle="1" w:styleId="EndNoteBibliography">
    <w:name w:val="EndNote Bibliography"/>
    <w:basedOn w:val="Normal"/>
    <w:link w:val="EndNoteBibliography0"/>
    <w:qFormat/>
    <w:pPr>
      <w:spacing w:line="240" w:lineRule="auto"/>
    </w:pPr>
    <w:rPr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qFormat/>
    <w:rPr>
      <w:rFonts w:ascii="Times New Roman" w:eastAsia="DengXian" w:hAnsi="Times New Roman" w:cs="Times New Roman"/>
      <w:sz w:val="20"/>
      <w:szCs w:val="22"/>
      <w14:ligatures w14:val="none"/>
    </w:rPr>
  </w:style>
  <w:style w:type="paragraph" w:customStyle="1" w:styleId="17babae4-54f0-44fa-a444-1068224df0ac">
    <w:name w:val="17babae4-54f0-44fa-a444-1068224df0ac"/>
    <w:basedOn w:val="Title"/>
    <w:next w:val="acbfdd8b-e11b-4d36-88ff-6049b138f862"/>
    <w:link w:val="17babae4-54f0-44fa-a444-1068224df0ac0"/>
    <w:qFormat/>
    <w:pPr>
      <w:adjustRightInd w:val="0"/>
      <w:spacing w:before="0" w:after="0" w:line="288" w:lineRule="auto"/>
      <w:ind w:firstLineChars="0" w:firstLine="0"/>
    </w:pPr>
    <w:rPr>
      <w:rFonts w:ascii="Microsoft YaHei" w:eastAsia="Microsoft YaHei" w:hAnsi="Microsoft YaHei"/>
      <w:color w:val="000000"/>
      <w:kern w:val="44"/>
      <w:sz w:val="40"/>
    </w:rPr>
  </w:style>
  <w:style w:type="character" w:customStyle="1" w:styleId="17babae4-54f0-44fa-a444-1068224df0ac0">
    <w:name w:val="17babae4-54f0-44fa-a444-1068224df0ac 字符"/>
    <w:basedOn w:val="DefaultParagraphFont"/>
    <w:link w:val="17babae4-54f0-44fa-a444-1068224df0ac"/>
    <w:qFormat/>
    <w:rPr>
      <w:rFonts w:ascii="Microsoft YaHei" w:eastAsia="Microsoft YaHei" w:hAnsi="Microsoft YaHei" w:cstheme="majorBidi"/>
      <w:b/>
      <w:bCs/>
      <w:color w:val="000000"/>
      <w:kern w:val="44"/>
      <w:sz w:val="40"/>
      <w:szCs w:val="32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b/>
      <w:bCs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tiff"/><Relationship Id="rId18" Type="http://schemas.openxmlformats.org/officeDocument/2006/relationships/image" Target="media/image8.tiff"/><Relationship Id="rId26" Type="http://schemas.openxmlformats.org/officeDocument/2006/relationships/image" Target="media/image16.tiff"/><Relationship Id="rId39" Type="http://schemas.openxmlformats.org/officeDocument/2006/relationships/footer" Target="footer2.xml"/><Relationship Id="rId21" Type="http://schemas.openxmlformats.org/officeDocument/2006/relationships/image" Target="media/image11.tiff"/><Relationship Id="rId34" Type="http://schemas.openxmlformats.org/officeDocument/2006/relationships/image" Target="media/image24.tif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tiff"/><Relationship Id="rId20" Type="http://schemas.openxmlformats.org/officeDocument/2006/relationships/image" Target="media/image10.tiff"/><Relationship Id="rId29" Type="http://schemas.openxmlformats.org/officeDocument/2006/relationships/image" Target="media/image19.tiff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tiff"/><Relationship Id="rId24" Type="http://schemas.openxmlformats.org/officeDocument/2006/relationships/image" Target="media/image14.tiff"/><Relationship Id="rId32" Type="http://schemas.openxmlformats.org/officeDocument/2006/relationships/image" Target="media/image22.tiff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5.tiff"/><Relationship Id="rId23" Type="http://schemas.openxmlformats.org/officeDocument/2006/relationships/image" Target="media/image13.tiff"/><Relationship Id="rId28" Type="http://schemas.openxmlformats.org/officeDocument/2006/relationships/image" Target="media/image18.tiff"/><Relationship Id="rId36" Type="http://schemas.openxmlformats.org/officeDocument/2006/relationships/header" Target="header1.xml"/><Relationship Id="rId10" Type="http://schemas.openxmlformats.org/officeDocument/2006/relationships/hyperlink" Target="mailto:xiangchaoyu@nimte.ac.cn" TargetMode="External"/><Relationship Id="rId19" Type="http://schemas.openxmlformats.org/officeDocument/2006/relationships/image" Target="media/image9.tiff"/><Relationship Id="rId31" Type="http://schemas.openxmlformats.org/officeDocument/2006/relationships/image" Target="media/image21.tiff"/><Relationship Id="rId4" Type="http://schemas.openxmlformats.org/officeDocument/2006/relationships/settings" Target="settings.xml"/><Relationship Id="rId9" Type="http://schemas.openxmlformats.org/officeDocument/2006/relationships/hyperlink" Target="mailto:dingshuo@nimte.ac.cn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tiff"/><Relationship Id="rId27" Type="http://schemas.openxmlformats.org/officeDocument/2006/relationships/image" Target="media/image17.tiff"/><Relationship Id="rId30" Type="http://schemas.openxmlformats.org/officeDocument/2006/relationships/image" Target="media/image20.tiff"/><Relationship Id="rId35" Type="http://schemas.openxmlformats.org/officeDocument/2006/relationships/image" Target="media/image25.tiff"/><Relationship Id="rId43" Type="http://schemas.openxmlformats.org/officeDocument/2006/relationships/theme" Target="theme/theme1.xml"/><Relationship Id="rId8" Type="http://schemas.openxmlformats.org/officeDocument/2006/relationships/hyperlink" Target="mailto:chenghao.bi@hrbeu.edu.cn" TargetMode="External"/><Relationship Id="rId3" Type="http://schemas.openxmlformats.org/officeDocument/2006/relationships/styles" Target="styles.xml"/><Relationship Id="rId12" Type="http://schemas.openxmlformats.org/officeDocument/2006/relationships/image" Target="media/image2.tiff"/><Relationship Id="rId17" Type="http://schemas.openxmlformats.org/officeDocument/2006/relationships/image" Target="media/image7.tiff"/><Relationship Id="rId25" Type="http://schemas.openxmlformats.org/officeDocument/2006/relationships/image" Target="media/image15.tiff"/><Relationship Id="rId33" Type="http://schemas.openxmlformats.org/officeDocument/2006/relationships/image" Target="media/image23.tiff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D60AD-7EBD-4642-9F11-6A206F493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5306</TotalTime>
  <Pages>1</Pages>
  <Words>734</Words>
  <Characters>3840</Characters>
  <Application>Microsoft Office Word</Application>
  <DocSecurity>0</DocSecurity>
  <Lines>32</Lines>
  <Paragraphs>9</Paragraphs>
  <ScaleCrop>false</ScaleCrop>
  <Company>HP Inc.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Yao Zhiwei</dc:creator>
  <cp:lastModifiedBy>Kanmani B Balakrishnan J</cp:lastModifiedBy>
  <cp:revision>110</cp:revision>
  <dcterms:created xsi:type="dcterms:W3CDTF">2025-01-02T00:38:00Z</dcterms:created>
  <dcterms:modified xsi:type="dcterms:W3CDTF">2026-03-14T02:52:00Z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752b05aa-6bbc-443e-a594-1f19aa072ba9</vt:lpwstr>
  </property>
  <property fmtid="{D5CDD505-2E9C-101B-9397-08002B2CF9AE}" pid="3" name="KSOTemplateDocerSaveRecord">
    <vt:lpwstr>eyJoZGlkIjoiY2Q3ZWEzNmI0YzQwNzYwNDllODcyZTliZDIxYmYyMDYiLCJ1c2VySWQiOiIxMDgzMTcyNiJ9</vt:lpwstr>
  </property>
  <property fmtid="{D5CDD505-2E9C-101B-9397-08002B2CF9AE}" pid="4" name="KSOProductBuildVer">
    <vt:lpwstr>2052-12.1.0.25225</vt:lpwstr>
  </property>
  <property fmtid="{D5CDD505-2E9C-101B-9397-08002B2CF9AE}" pid="5" name="ICV">
    <vt:lpwstr>20988BED69D54159807F3336897E2750_12</vt:lpwstr>
  </property>
</Properties>
</file>