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C877B" w14:textId="77777777" w:rsidR="00772736" w:rsidRDefault="00D641D1" w:rsidP="00AD213E">
      <w:pPr>
        <w:pStyle w:val="BATitle"/>
        <w:spacing w:before="120" w:after="120" w:line="240" w:lineRule="auto"/>
        <w:jc w:val="lef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Supporting Information for</w:t>
      </w:r>
    </w:p>
    <w:p w14:paraId="42AEC57D" w14:textId="77777777" w:rsidR="00AD213E" w:rsidRDefault="00AD213E" w:rsidP="00AD213E">
      <w:pPr>
        <w:spacing w:before="120" w:after="120"/>
        <w:rPr>
          <w:rFonts w:ascii="Times New Roman" w:eastAsia="MS Mincho" w:hAnsi="Times New Roman" w:cs="Times New Roman"/>
          <w:b/>
          <w:kern w:val="0"/>
          <w:sz w:val="28"/>
          <w:szCs w:val="28"/>
          <w:lang w:val="de-DE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de-DE"/>
        </w:rPr>
        <w:t>Screen-Printed Li Arrays with Reinforced Interphase as Ultrathin Anodes for High-Energy-Density Liquid and Solid-State Batteries</w:t>
      </w:r>
    </w:p>
    <w:p w14:paraId="45DB31CA" w14:textId="77777777" w:rsidR="00AD213E" w:rsidRDefault="00AD213E" w:rsidP="00AD213E">
      <w:pPr>
        <w:spacing w:before="120" w:after="120"/>
        <w:rPr>
          <w:rFonts w:ascii="Times New Roman" w:hAnsi="Times New Roman" w:cs="Times New Roman"/>
          <w:bCs/>
          <w:iCs/>
          <w:sz w:val="24"/>
          <w:szCs w:val="36"/>
          <w:lang w:val="en-AU"/>
          <w14:ligatures w14:val="none"/>
        </w:rPr>
      </w:pPr>
      <w:bookmarkStart w:id="0" w:name="_Hlk146810621"/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Wenting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Liu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 xml:space="preserve">1, 2, </w:t>
      </w:r>
      <w:r>
        <w:rPr>
          <w:rFonts w:ascii="Times New Roman" w:hAnsi="Times New Roman" w:cs="Times New Roman" w:hint="eastAsia"/>
          <w:iCs/>
          <w:sz w:val="24"/>
          <w:szCs w:val="32"/>
          <w:vertAlign w:val="superscript"/>
        </w:rPr>
        <w:t>‡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Zhenyao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Wei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 xml:space="preserve">3, </w:t>
      </w:r>
      <w:r>
        <w:rPr>
          <w:rFonts w:ascii="Times New Roman" w:hAnsi="Times New Roman" w:cs="Times New Roman" w:hint="eastAsia"/>
          <w:iCs/>
          <w:sz w:val="24"/>
          <w:szCs w:val="32"/>
          <w:vertAlign w:val="superscript"/>
        </w:rPr>
        <w:t>‡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, </w:t>
      </w:r>
      <w:r>
        <w:rPr>
          <w:rFonts w:ascii="Times New Roman" w:hAnsi="Times New Roman" w:cs="Times New Roman"/>
          <w:iCs/>
          <w:sz w:val="24"/>
          <w:szCs w:val="32"/>
        </w:rPr>
        <w:t>De Ning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 xml:space="preserve">2, </w:t>
      </w:r>
      <w:r>
        <w:rPr>
          <w:rFonts w:ascii="Times New Roman" w:hAnsi="Times New Roman" w:cs="Times New Roman" w:hint="eastAsia"/>
          <w:iCs/>
          <w:sz w:val="24"/>
          <w:szCs w:val="32"/>
          <w:vertAlign w:val="superscript"/>
        </w:rPr>
        <w:t>‡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Zhenhuan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Lu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 xml:space="preserve">1, 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*, 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Fengping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Zhang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Xuhao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Wang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Binzhe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Zhao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Guohua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Zhong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Jie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Zhang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36"/>
        </w:rPr>
        <w:t>, Yan Shao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36"/>
        </w:rPr>
        <w:t>, Ming Chen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>2,</w:t>
      </w:r>
      <w:r>
        <w:rPr>
          <w:rFonts w:ascii="Times New Roman" w:hAnsi="Times New Roman" w:cs="Times New Roman"/>
          <w:bCs/>
          <w:iCs/>
          <w:sz w:val="24"/>
          <w:szCs w:val="36"/>
        </w:rPr>
        <w:t xml:space="preserve">*, </w:t>
      </w:r>
      <w:r>
        <w:rPr>
          <w:rFonts w:ascii="Times New Roman" w:hAnsi="Times New Roman" w:cs="Times New Roman"/>
          <w:iCs/>
          <w:sz w:val="24"/>
          <w:szCs w:val="32"/>
        </w:rPr>
        <w:t>Man Wang</w:t>
      </w:r>
      <w:r>
        <w:rPr>
          <w:rFonts w:ascii="Times New Roman" w:hAnsi="Times New Roman" w:cs="Times New Roman"/>
          <w:iCs/>
          <w:sz w:val="24"/>
          <w:szCs w:val="32"/>
          <w:vertAlign w:val="superscript"/>
        </w:rPr>
        <w:t>3</w:t>
      </w:r>
      <w:r>
        <w:rPr>
          <w:rFonts w:ascii="Times New Roman" w:hAnsi="Times New Roman" w:cs="Times New Roman"/>
          <w:bCs/>
          <w:iCs/>
          <w:sz w:val="24"/>
          <w:szCs w:val="36"/>
        </w:rPr>
        <w:t>, Jun Wang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 xml:space="preserve">3, </w:t>
      </w:r>
      <w:r>
        <w:rPr>
          <w:rFonts w:ascii="Times New Roman" w:hAnsi="Times New Roman" w:cs="Times New Roman"/>
          <w:bCs/>
          <w:iCs/>
          <w:sz w:val="24"/>
          <w:szCs w:val="36"/>
        </w:rPr>
        <w:t>*,</w:t>
      </w:r>
      <w:r>
        <w:rPr>
          <w:rFonts w:ascii="Times New Roman" w:hAnsi="Times New Roman" w:cs="Times New Roman"/>
          <w:iCs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32"/>
        </w:rPr>
        <w:t>Chunlei</w:t>
      </w:r>
      <w:proofErr w:type="spellEnd"/>
      <w:r>
        <w:rPr>
          <w:rFonts w:ascii="Times New Roman" w:hAnsi="Times New Roman" w:cs="Times New Roman"/>
          <w:iCs/>
          <w:sz w:val="24"/>
          <w:szCs w:val="32"/>
        </w:rPr>
        <w:t xml:space="preserve"> Yang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>2, 4</w:t>
      </w:r>
      <w:r>
        <w:rPr>
          <w:rFonts w:ascii="Times New Roman" w:hAnsi="Times New Roman" w:cs="Times New Roman"/>
          <w:iCs/>
          <w:sz w:val="24"/>
          <w:szCs w:val="32"/>
        </w:rPr>
        <w:t xml:space="preserve"> and Wei Wu</w:t>
      </w:r>
      <w:r>
        <w:rPr>
          <w:rFonts w:ascii="Times New Roman" w:hAnsi="Times New Roman" w:cs="Times New Roman"/>
          <w:bCs/>
          <w:iCs/>
          <w:sz w:val="24"/>
          <w:szCs w:val="36"/>
          <w:vertAlign w:val="superscript"/>
        </w:rPr>
        <w:t xml:space="preserve">2, </w:t>
      </w:r>
      <w:r>
        <w:rPr>
          <w:rFonts w:ascii="Times New Roman" w:hAnsi="Times New Roman" w:cs="Times New Roman"/>
          <w:bCs/>
          <w:iCs/>
          <w:sz w:val="24"/>
          <w:szCs w:val="36"/>
        </w:rPr>
        <w:t>*</w:t>
      </w:r>
    </w:p>
    <w:p w14:paraId="0511E302" w14:textId="77777777" w:rsidR="00AD213E" w:rsidRDefault="00AD213E" w:rsidP="00AD213E">
      <w:pPr>
        <w:snapToGrid w:val="0"/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  <w:bookmarkStart w:id="1" w:name="_Hlk32415578"/>
      <w:bookmarkEnd w:id="0"/>
      <w:r>
        <w:rPr>
          <w:rFonts w:ascii="Times New Roman" w:hAnsi="Times New Roman" w:cs="Times New Roman"/>
          <w:bCs/>
          <w:sz w:val="24"/>
          <w:szCs w:val="32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32"/>
        </w:rPr>
        <w:t xml:space="preserve"> Guangxi Key Laboratory of Electrochemical and Magneto-chemical Functional Materials, College of Chemistry and Bioengineering, Guilin University of Technology, Guilin 541004, P. R. China</w:t>
      </w:r>
    </w:p>
    <w:p w14:paraId="1A3E884A" w14:textId="77777777" w:rsidR="00AD213E" w:rsidRDefault="00AD213E" w:rsidP="00AD213E">
      <w:pPr>
        <w:snapToGrid w:val="0"/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32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32"/>
        </w:rPr>
        <w:t xml:space="preserve"> Shenzhen Institutes of Advanced Technology, Chinese Academy of Sciences, Shenzhen 518055, P. R. China</w:t>
      </w:r>
    </w:p>
    <w:p w14:paraId="6BFF3A13" w14:textId="77777777" w:rsidR="00AD213E" w:rsidRDefault="00AD213E" w:rsidP="00AD213E">
      <w:pPr>
        <w:snapToGrid w:val="0"/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32"/>
          <w:vertAlign w:val="superscript"/>
        </w:rPr>
        <w:t>3</w:t>
      </w:r>
      <w:r>
        <w:rPr>
          <w:rFonts w:ascii="Times New Roman" w:hAnsi="Times New Roman" w:cs="Times New Roman"/>
          <w:bCs/>
          <w:sz w:val="24"/>
          <w:szCs w:val="32"/>
        </w:rPr>
        <w:t xml:space="preserve"> Department of Materials Science and Engineering, School of Innovation and Entrepreneurship, Southern University of Science and Technology, Shenzhen 518055, P. R. China</w:t>
      </w:r>
    </w:p>
    <w:p w14:paraId="3963D7C6" w14:textId="77777777" w:rsidR="00AD213E" w:rsidRDefault="00AD213E" w:rsidP="00AD213E">
      <w:pPr>
        <w:snapToGrid w:val="0"/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32"/>
          <w:vertAlign w:val="superscript"/>
        </w:rPr>
        <w:t>4</w:t>
      </w:r>
      <w:r>
        <w:rPr>
          <w:rFonts w:ascii="Times New Roman" w:hAnsi="Times New Roman" w:cs="Times New Roman"/>
          <w:bCs/>
          <w:sz w:val="24"/>
          <w:szCs w:val="32"/>
        </w:rPr>
        <w:t xml:space="preserve"> Faculty of Materials Science and Energy Engineering, Shenzhen University of Advanced Technology, Shenzhen 518107, P. R. China</w:t>
      </w:r>
    </w:p>
    <w:bookmarkEnd w:id="1"/>
    <w:p w14:paraId="46599DEC" w14:textId="77777777" w:rsidR="00AD213E" w:rsidRDefault="00AD213E" w:rsidP="00AD213E">
      <w:pPr>
        <w:spacing w:before="120" w:after="120"/>
        <w:rPr>
          <w:rFonts w:ascii="Times New Roman" w:hAnsi="Times New Roman" w:cs="Times New Roman"/>
          <w:bCs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  <w:vertAlign w:val="superscript"/>
        </w:rPr>
        <w:t>‡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Wenting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Liu, 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Zhenyao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Wei, and </w:t>
      </w:r>
      <w:r>
        <w:rPr>
          <w:rFonts w:ascii="Times New Roman" w:hAnsi="Times New Roman" w:cs="Times New Roman"/>
          <w:iCs/>
          <w:sz w:val="24"/>
          <w:szCs w:val="32"/>
        </w:rPr>
        <w:t>De Ning</w:t>
      </w:r>
      <w:r>
        <w:rPr>
          <w:rFonts w:ascii="Times New Roman" w:hAnsi="Times New Roman" w:cs="Times New Roman"/>
          <w:bCs/>
          <w:sz w:val="24"/>
          <w:szCs w:val="32"/>
        </w:rPr>
        <w:t xml:space="preserve"> have contributed equally to this work.</w:t>
      </w:r>
    </w:p>
    <w:p w14:paraId="770C3C26" w14:textId="77777777" w:rsidR="00AD213E" w:rsidRDefault="00AD213E" w:rsidP="00AD213E">
      <w:pPr>
        <w:spacing w:before="120" w:after="120"/>
        <w:jc w:val="left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Cs/>
          <w:sz w:val="24"/>
          <w:szCs w:val="32"/>
          <w:vertAlign w:val="superscript"/>
        </w:rPr>
        <w:t>*</w:t>
      </w:r>
      <w:r>
        <w:rPr>
          <w:rFonts w:ascii="Times New Roman" w:hAnsi="Times New Roman" w:cs="Times New Roman"/>
          <w:bCs/>
          <w:sz w:val="24"/>
          <w:szCs w:val="32"/>
        </w:rPr>
        <w:t>Corresponding authors. E-mail: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hyperlink r:id="rId7" w:history="1">
        <w:r>
          <w:rPr>
            <w:rStyle w:val="ad"/>
            <w:rFonts w:ascii="Times New Roman" w:hAnsi="Times New Roman" w:cs="Times New Roman"/>
            <w:sz w:val="24"/>
            <w:szCs w:val="32"/>
          </w:rPr>
          <w:t>zhenhuanlu@glut.edu.cn</w:t>
        </w:r>
      </w:hyperlink>
      <w:r>
        <w:rPr>
          <w:rFonts w:ascii="Times New Roman" w:hAnsi="Times New Roman" w:cs="Times New Roman"/>
          <w:sz w:val="24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36"/>
        </w:rPr>
        <w:t>Zhenhuan</w:t>
      </w:r>
      <w:proofErr w:type="spellEnd"/>
      <w:r>
        <w:rPr>
          <w:rFonts w:ascii="Times New Roman" w:hAnsi="Times New Roman" w:cs="Times New Roman"/>
          <w:bCs/>
          <w:iCs/>
          <w:sz w:val="24"/>
          <w:szCs w:val="36"/>
        </w:rPr>
        <w:t xml:space="preserve"> Lu</w:t>
      </w:r>
      <w:r>
        <w:rPr>
          <w:rFonts w:ascii="Times New Roman" w:hAnsi="Times New Roman" w:cs="Times New Roman"/>
          <w:sz w:val="24"/>
          <w:szCs w:val="32"/>
        </w:rPr>
        <w:t xml:space="preserve">); </w:t>
      </w:r>
      <w:bookmarkStart w:id="2" w:name="_Hlk37188786"/>
      <w:r>
        <w:rPr>
          <w:rFonts w:ascii="Times New Roman" w:hAnsi="Times New Roman" w:cs="Times New Roman"/>
          <w:sz w:val="24"/>
          <w:szCs w:val="32"/>
        </w:rPr>
        <w:fldChar w:fldCharType="begin"/>
      </w:r>
      <w:r>
        <w:rPr>
          <w:rFonts w:ascii="Times New Roman" w:hAnsi="Times New Roman" w:cs="Times New Roman"/>
          <w:sz w:val="24"/>
          <w:szCs w:val="32"/>
        </w:rPr>
        <w:instrText xml:space="preserve"> HYPERLINK "mailto:ming.chen2@siat.ac.cn" </w:instrText>
      </w:r>
      <w:r>
        <w:rPr>
          <w:rFonts w:ascii="Times New Roman" w:hAnsi="Times New Roman" w:cs="Times New Roman"/>
          <w:sz w:val="24"/>
          <w:szCs w:val="32"/>
        </w:rPr>
        <w:fldChar w:fldCharType="separate"/>
      </w:r>
      <w:r>
        <w:rPr>
          <w:rStyle w:val="ad"/>
          <w:rFonts w:ascii="Times New Roman" w:hAnsi="Times New Roman" w:cs="Times New Roman"/>
          <w:sz w:val="24"/>
          <w:szCs w:val="32"/>
        </w:rPr>
        <w:t>ming.chen2@siat.ac.cn</w:t>
      </w:r>
      <w:r>
        <w:rPr>
          <w:rFonts w:ascii="Times New Roman" w:hAnsi="Times New Roman" w:cs="Times New Roman"/>
          <w:sz w:val="24"/>
          <w:szCs w:val="32"/>
        </w:rPr>
        <w:fldChar w:fldCharType="end"/>
      </w:r>
      <w:r>
        <w:rPr>
          <w:rFonts w:ascii="Times New Roman" w:hAnsi="Times New Roman" w:cs="Times New Roman"/>
          <w:sz w:val="24"/>
          <w:szCs w:val="32"/>
        </w:rPr>
        <w:t xml:space="preserve"> (</w:t>
      </w:r>
      <w:r>
        <w:rPr>
          <w:rFonts w:ascii="Times New Roman" w:hAnsi="Times New Roman" w:cs="Times New Roman"/>
          <w:bCs/>
          <w:iCs/>
          <w:sz w:val="24"/>
          <w:szCs w:val="36"/>
        </w:rPr>
        <w:t>Ming Chen</w:t>
      </w:r>
      <w:r>
        <w:rPr>
          <w:rFonts w:ascii="Times New Roman" w:hAnsi="Times New Roman" w:cs="Times New Roman"/>
          <w:sz w:val="24"/>
          <w:szCs w:val="32"/>
        </w:rPr>
        <w:t xml:space="preserve">); </w:t>
      </w:r>
      <w:hyperlink r:id="rId8" w:history="1">
        <w:r>
          <w:rPr>
            <w:rStyle w:val="ad"/>
            <w:rFonts w:ascii="Times New Roman" w:hAnsi="Times New Roman" w:cs="Times New Roman"/>
            <w:sz w:val="24"/>
            <w:szCs w:val="32"/>
          </w:rPr>
          <w:t>wangj9@sustech.edu.cn</w:t>
        </w:r>
      </w:hyperlink>
      <w:r>
        <w:rPr>
          <w:rStyle w:val="ad"/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(</w:t>
      </w:r>
      <w:r>
        <w:rPr>
          <w:rFonts w:ascii="Times New Roman" w:hAnsi="Times New Roman" w:cs="Times New Roman"/>
          <w:bCs/>
          <w:iCs/>
          <w:sz w:val="24"/>
          <w:szCs w:val="36"/>
        </w:rPr>
        <w:t>Jun Wang</w:t>
      </w:r>
      <w:r>
        <w:rPr>
          <w:rFonts w:ascii="Times New Roman" w:hAnsi="Times New Roman" w:cs="Times New Roman"/>
          <w:sz w:val="24"/>
          <w:szCs w:val="32"/>
        </w:rPr>
        <w:t xml:space="preserve">); </w:t>
      </w:r>
      <w:hyperlink r:id="rId9" w:history="1">
        <w:r>
          <w:rPr>
            <w:rStyle w:val="ad"/>
            <w:rFonts w:ascii="Times New Roman" w:hAnsi="Times New Roman" w:cs="Times New Roman"/>
            <w:sz w:val="24"/>
            <w:szCs w:val="32"/>
          </w:rPr>
          <w:t>w.wu1@siat.ac.cn</w:t>
        </w:r>
      </w:hyperlink>
      <w:r>
        <w:rPr>
          <w:rStyle w:val="ad"/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(</w:t>
      </w:r>
      <w:r>
        <w:rPr>
          <w:rFonts w:ascii="Times New Roman" w:hAnsi="Times New Roman" w:cs="Times New Roman"/>
          <w:iCs/>
          <w:sz w:val="24"/>
          <w:szCs w:val="32"/>
        </w:rPr>
        <w:t>Wei Wu</w:t>
      </w:r>
      <w:r>
        <w:rPr>
          <w:rFonts w:ascii="Times New Roman" w:hAnsi="Times New Roman" w:cs="Times New Roman"/>
          <w:sz w:val="24"/>
          <w:szCs w:val="32"/>
        </w:rPr>
        <w:t>)</w:t>
      </w:r>
      <w:bookmarkEnd w:id="2"/>
    </w:p>
    <w:p w14:paraId="78446B52" w14:textId="77777777" w:rsidR="00772736" w:rsidRDefault="00D641D1" w:rsidP="00AD213E">
      <w:pPr>
        <w:widowControl/>
        <w:spacing w:before="120" w:after="1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1 Supporting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F</w:t>
      </w: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>igures</w:t>
      </w:r>
    </w:p>
    <w:p w14:paraId="73D61FEC" w14:textId="77777777" w:rsidR="00772736" w:rsidRDefault="00D641D1" w:rsidP="00AD213E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38609008" wp14:editId="6039B2A3">
            <wp:extent cx="4043966" cy="2695977"/>
            <wp:effectExtent l="0" t="0" r="0" b="9525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7807" cy="269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399BE" w14:textId="77777777" w:rsidR="00772736" w:rsidRDefault="00D641D1" w:rsidP="00AD213E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eastAsia="宋体" w:hAnsi="Times New Roman" w:cs="Times New Roman"/>
          <w:b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Optical</w:t>
      </w:r>
      <w:r>
        <w:rPr>
          <w:rFonts w:ascii="Times New Roman" w:eastAsia="宋体" w:hAnsi="Times New Roman" w:cs="Times New Roman" w:hint="eastAsia"/>
          <w:sz w:val="24"/>
        </w:rPr>
        <w:t xml:space="preserve"> image of as-prepared bare Li foil</w:t>
      </w:r>
      <w:r>
        <w:rPr>
          <w:rFonts w:ascii="Times New Roman" w:eastAsia="宋体" w:hAnsi="Times New Roman" w:cs="Times New Roman"/>
          <w:sz w:val="24"/>
        </w:rPr>
        <w:br w:type="page"/>
      </w:r>
    </w:p>
    <w:p w14:paraId="517DF559" w14:textId="77777777" w:rsidR="00772736" w:rsidRDefault="00D641D1" w:rsidP="00AD213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CACA71" wp14:editId="72C4F23E">
            <wp:extent cx="5039995" cy="2209800"/>
            <wp:effectExtent l="0" t="0" r="8255" b="0"/>
            <wp:docPr id="18495005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00597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3A43C0" w14:textId="60C49D46" w:rsidR="00772736" w:rsidRDefault="00D641D1" w:rsidP="00AD2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Optical image of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hint="eastAsia"/>
          <w:sz w:val="24"/>
          <w:szCs w:val="24"/>
        </w:rPr>
        <w:t>m</w:t>
      </w:r>
      <w:proofErr w:type="spellEnd"/>
      <w:r>
        <w:rPr>
          <w:rFonts w:ascii="Times New Roman" w:hAnsi="Times New Roman" w:hint="eastAsia"/>
          <w:sz w:val="24"/>
          <w:szCs w:val="24"/>
        </w:rPr>
        <w:t>-equivalent Li anode, dimension of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</w:rPr>
        <w:t>≈</w:t>
      </w:r>
      <w:r>
        <w:rPr>
          <w:rFonts w:ascii="Times New Roman" w:eastAsia="宋体" w:hAnsi="Times New Roman" w:cs="Times New Roman" w:hint="eastAsia"/>
          <w:bCs/>
          <w:sz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0 cm × 10 cm</w:t>
      </w:r>
      <w:r w:rsidR="00AD2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267AF" w14:textId="77777777" w:rsidR="00AD213E" w:rsidRDefault="00AD213E" w:rsidP="00AD213E">
      <w:pPr>
        <w:rPr>
          <w:rFonts w:ascii="Times New Roman" w:hAnsi="Times New Roman" w:cs="Times New Roman"/>
          <w:sz w:val="24"/>
          <w:szCs w:val="24"/>
        </w:rPr>
      </w:pPr>
    </w:p>
    <w:p w14:paraId="754E9FD0" w14:textId="77777777" w:rsidR="00AD213E" w:rsidRDefault="00AD213E" w:rsidP="00AD213E">
      <w:pPr>
        <w:rPr>
          <w:rFonts w:ascii="Times New Roman" w:eastAsia="宋体" w:hAnsi="Times New Roman" w:cs="Times New Roman"/>
          <w:sz w:val="24"/>
        </w:rPr>
      </w:pPr>
    </w:p>
    <w:p w14:paraId="1E461696" w14:textId="77777777" w:rsidR="00772736" w:rsidRDefault="00D641D1" w:rsidP="00AD213E">
      <w:pPr>
        <w:jc w:val="center"/>
        <w:rPr>
          <w:rFonts w:ascii="Times New Roman" w:hAnsi="Times New Roman"/>
          <w:sz w:val="24"/>
          <w:szCs w:val="24"/>
        </w:rPr>
      </w:pPr>
      <w:bookmarkStart w:id="3" w:name="_Hlk230334916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8E2046" wp14:editId="4F78D8B3">
            <wp:extent cx="5759450" cy="1254760"/>
            <wp:effectExtent l="0" t="0" r="0" b="2540"/>
            <wp:docPr id="10564087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08716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25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D394F" w14:textId="6455DA88" w:rsidR="00772736" w:rsidRDefault="00D641D1" w:rsidP="00AD21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4" w:name="_Hlk230334941"/>
      <w:r>
        <w:rPr>
          <w:rFonts w:ascii="Times New Roman" w:hAnsi="Times New Roman"/>
          <w:sz w:val="24"/>
          <w:szCs w:val="24"/>
        </w:rPr>
        <w:t xml:space="preserve">Peel test of the screen‑printed Li </w:t>
      </w:r>
      <w:proofErr w:type="spellStart"/>
      <w:r>
        <w:rPr>
          <w:rFonts w:ascii="Times New Roman" w:hAnsi="Times New Roman"/>
          <w:sz w:val="24"/>
          <w:szCs w:val="24"/>
        </w:rPr>
        <w:t>microdisk</w:t>
      </w:r>
      <w:proofErr w:type="spellEnd"/>
      <w:r>
        <w:rPr>
          <w:rFonts w:ascii="Times New Roman" w:hAnsi="Times New Roman"/>
          <w:sz w:val="24"/>
          <w:szCs w:val="24"/>
        </w:rPr>
        <w:t xml:space="preserve"> array on Cu current collector. The Li </w:t>
      </w:r>
      <w:proofErr w:type="spellStart"/>
      <w:r>
        <w:rPr>
          <w:rFonts w:ascii="Times New Roman" w:hAnsi="Times New Roman"/>
          <w:sz w:val="24"/>
          <w:szCs w:val="24"/>
        </w:rPr>
        <w:t>microdisks</w:t>
      </w:r>
      <w:proofErr w:type="spellEnd"/>
      <w:r>
        <w:rPr>
          <w:rFonts w:ascii="Times New Roman" w:hAnsi="Times New Roman"/>
          <w:sz w:val="24"/>
          <w:szCs w:val="24"/>
        </w:rPr>
        <w:t xml:space="preserve"> remain firmly attached to the </w:t>
      </w:r>
      <w:r>
        <w:rPr>
          <w:rFonts w:ascii="Times New Roman" w:hAnsi="Times New Roman"/>
          <w:sz w:val="24"/>
          <w:szCs w:val="24"/>
        </w:rPr>
        <w:t>Cu substrate after peeling, demonstrating strong adhesion</w:t>
      </w:r>
      <w:bookmarkEnd w:id="3"/>
      <w:bookmarkEnd w:id="4"/>
    </w:p>
    <w:p w14:paraId="4CAD89DE" w14:textId="3DB6434A" w:rsidR="00AD213E" w:rsidRDefault="00AD213E" w:rsidP="00AD213E">
      <w:pPr>
        <w:rPr>
          <w:rFonts w:ascii="Times New Roman" w:hAnsi="Times New Roman"/>
          <w:sz w:val="24"/>
          <w:szCs w:val="24"/>
        </w:rPr>
      </w:pPr>
    </w:p>
    <w:p w14:paraId="14403717" w14:textId="77777777" w:rsidR="00AD213E" w:rsidRDefault="00AD213E" w:rsidP="00AD213E">
      <w:pPr>
        <w:rPr>
          <w:rFonts w:ascii="Times New Roman" w:eastAsia="宋体" w:hAnsi="Times New Roman" w:cs="Times New Roman" w:hint="eastAsia"/>
          <w:sz w:val="24"/>
        </w:rPr>
      </w:pPr>
    </w:p>
    <w:p w14:paraId="1EEC43BF" w14:textId="77777777" w:rsidR="00772736" w:rsidRDefault="00D641D1" w:rsidP="00AD213E">
      <w:pPr>
        <w:jc w:val="center"/>
        <w:rPr>
          <w:rFonts w:ascii="Times New Roman" w:hAnsi="Times New Roman"/>
          <w:sz w:val="24"/>
          <w:szCs w:val="24"/>
        </w:rPr>
      </w:pPr>
      <w:bookmarkStart w:id="5" w:name="_Hlk230334788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1E1880" wp14:editId="1F9EDFA9">
            <wp:extent cx="5759450" cy="1487170"/>
            <wp:effectExtent l="0" t="0" r="0" b="0"/>
            <wp:docPr id="2726948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94869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487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FCB21" w14:textId="77777777" w:rsidR="00772736" w:rsidRDefault="00D641D1" w:rsidP="00AD213E">
      <w:pPr>
        <w:rPr>
          <w:rFonts w:ascii="Times New Roman" w:hAnsi="Times New Roman"/>
          <w:sz w:val="24"/>
          <w:szCs w:val="24"/>
        </w:rPr>
      </w:pPr>
      <w:bookmarkStart w:id="6" w:name="_Hlk230334901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5"/>
      <w:r>
        <w:rPr>
          <w:rFonts w:ascii="Times New Roman" w:hAnsi="Times New Roman"/>
          <w:sz w:val="24"/>
          <w:szCs w:val="24"/>
        </w:rPr>
        <w:t xml:space="preserve">Bending test of the screen‑printed Li </w:t>
      </w:r>
      <w:proofErr w:type="spellStart"/>
      <w:r>
        <w:rPr>
          <w:rFonts w:ascii="Times New Roman" w:hAnsi="Times New Roman"/>
          <w:sz w:val="24"/>
          <w:szCs w:val="24"/>
        </w:rPr>
        <w:t>microdisk</w:t>
      </w:r>
      <w:proofErr w:type="spellEnd"/>
      <w:r>
        <w:rPr>
          <w:rFonts w:ascii="Times New Roman" w:hAnsi="Times New Roman"/>
          <w:sz w:val="24"/>
          <w:szCs w:val="24"/>
        </w:rPr>
        <w:t xml:space="preserve"> array. After 200 bending cycles, the individual Li </w:t>
      </w:r>
      <w:proofErr w:type="spellStart"/>
      <w:r>
        <w:rPr>
          <w:rFonts w:ascii="Times New Roman" w:hAnsi="Times New Roman"/>
          <w:sz w:val="24"/>
          <w:szCs w:val="24"/>
        </w:rPr>
        <w:t>microdisks</w:t>
      </w:r>
      <w:proofErr w:type="spellEnd"/>
      <w:r>
        <w:rPr>
          <w:rFonts w:ascii="Times New Roman" w:hAnsi="Times New Roman"/>
          <w:sz w:val="24"/>
          <w:szCs w:val="24"/>
        </w:rPr>
        <w:t xml:space="preserve"> retain their original morphology and maintain intimate contact with the Cu sub</w:t>
      </w:r>
      <w:r>
        <w:rPr>
          <w:rFonts w:ascii="Times New Roman" w:hAnsi="Times New Roman"/>
          <w:sz w:val="24"/>
          <w:szCs w:val="24"/>
        </w:rPr>
        <w:t>strate without visible detachment or mechanical damage</w:t>
      </w:r>
      <w:bookmarkEnd w:id="6"/>
    </w:p>
    <w:p w14:paraId="5250B28A" w14:textId="77777777" w:rsidR="00772736" w:rsidRDefault="00D641D1" w:rsidP="00AD213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F72538" wp14:editId="205BB27B">
            <wp:extent cx="4319905" cy="3459480"/>
            <wp:effectExtent l="0" t="0" r="4445" b="7620"/>
            <wp:docPr id="3840917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91710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45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DE3424" w14:textId="45E3E8E4" w:rsidR="00772736" w:rsidRDefault="00D641D1" w:rsidP="00AD21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Surface SEM-EDS elemental mapping of </w:t>
      </w:r>
      <w:proofErr w:type="spellStart"/>
      <w:r>
        <w:rPr>
          <w:rFonts w:ascii="Times New Roman" w:hAnsi="Times New Roman"/>
          <w:bCs/>
          <w:sz w:val="24"/>
          <w:szCs w:val="24"/>
        </w:rPr>
        <w:t>Li@</w:t>
      </w:r>
      <w:proofErr w:type="gramStart"/>
      <w:r>
        <w:rPr>
          <w:rFonts w:ascii="Times New Roman" w:hAnsi="Times New Roman"/>
          <w:bCs/>
          <w:sz w:val="24"/>
          <w:szCs w:val="24"/>
        </w:rPr>
        <w:t>Mg</w:t>
      </w:r>
      <w:proofErr w:type="spellEnd"/>
      <w:r>
        <w:rPr>
          <w:rFonts w:ascii="Times New Roman" w:hAnsi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Cs/>
          <w:sz w:val="24"/>
          <w:szCs w:val="24"/>
        </w:rPr>
        <w:t>TFSI)</w:t>
      </w:r>
      <w:r>
        <w:rPr>
          <w:rFonts w:ascii="Times New Roman" w:hAnsi="Times New Roman" w:hint="eastAsia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 S</w:t>
      </w:r>
      <w:r>
        <w:rPr>
          <w:rFonts w:ascii="Times New Roman" w:hAnsi="Times New Roman" w:hint="eastAsia"/>
          <w:bCs/>
          <w:sz w:val="24"/>
          <w:szCs w:val="24"/>
        </w:rPr>
        <w:t>EM</w:t>
      </w:r>
      <w:r>
        <w:rPr>
          <w:rFonts w:ascii="Times New Roman" w:hAnsi="Times New Roman"/>
          <w:bCs/>
          <w:sz w:val="24"/>
          <w:szCs w:val="24"/>
        </w:rPr>
        <w:t xml:space="preserve"> image of the selected </w:t>
      </w:r>
      <w:r>
        <w:rPr>
          <w:rFonts w:ascii="Times New Roman" w:hAnsi="Times New Roman" w:hint="eastAsia"/>
          <w:bCs/>
          <w:sz w:val="24"/>
          <w:szCs w:val="24"/>
        </w:rPr>
        <w:t xml:space="preserve">surface </w:t>
      </w:r>
      <w:r>
        <w:rPr>
          <w:rFonts w:ascii="Times New Roman" w:hAnsi="Times New Roman"/>
          <w:bCs/>
          <w:sz w:val="24"/>
          <w:szCs w:val="24"/>
        </w:rPr>
        <w:t xml:space="preserve">region. </w:t>
      </w:r>
      <w:r>
        <w:rPr>
          <w:rFonts w:ascii="Times New Roman" w:hAnsi="Times New Roman"/>
          <w:b/>
          <w:sz w:val="24"/>
          <w:szCs w:val="24"/>
        </w:rPr>
        <w:t>b–f</w:t>
      </w:r>
      <w:r>
        <w:rPr>
          <w:rFonts w:ascii="Times New Roman" w:hAnsi="Times New Roman"/>
          <w:bCs/>
          <w:sz w:val="24"/>
          <w:szCs w:val="24"/>
        </w:rPr>
        <w:t xml:space="preserve"> Corresponding EDS maps of C, F, S, N, and Mg</w:t>
      </w:r>
      <w:r>
        <w:rPr>
          <w:rFonts w:ascii="Times New Roman" w:hAnsi="Times New Roman" w:hint="eastAsia"/>
          <w:bCs/>
          <w:sz w:val="24"/>
          <w:szCs w:val="24"/>
        </w:rPr>
        <w:t xml:space="preserve"> species</w:t>
      </w:r>
      <w:r>
        <w:rPr>
          <w:rFonts w:ascii="Times New Roman" w:hAnsi="Times New Roman"/>
          <w:bCs/>
          <w:sz w:val="24"/>
          <w:szCs w:val="24"/>
        </w:rPr>
        <w:t>, respectively.</w:t>
      </w:r>
      <w:r>
        <w:rPr>
          <w:rFonts w:ascii="Times New Roman" w:hAnsi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g</w:t>
      </w:r>
      <w:r>
        <w:rPr>
          <w:rFonts w:ascii="Times New Roman" w:hAnsi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Quantitative EDS spectrum of the </w:t>
      </w:r>
      <w:proofErr w:type="spellStart"/>
      <w:r>
        <w:rPr>
          <w:rFonts w:ascii="Times New Roman" w:hAnsi="Times New Roman"/>
          <w:sz w:val="24"/>
          <w:szCs w:val="24"/>
        </w:rPr>
        <w:t>Li@</w:t>
      </w:r>
      <w:proofErr w:type="gramStart"/>
      <w:r>
        <w:rPr>
          <w:rFonts w:ascii="Times New Roman" w:hAnsi="Times New Roman"/>
          <w:sz w:val="24"/>
          <w:szCs w:val="24"/>
        </w:rPr>
        <w:t>Mg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TFSI)</w:t>
      </w:r>
      <w:r>
        <w:rPr>
          <w:rFonts w:ascii="Times New Roman" w:hAnsi="Times New Roman" w:hint="eastAsia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surface, with the inset table summarizing the weight percentages of the detected elements</w:t>
      </w:r>
    </w:p>
    <w:p w14:paraId="536A5D73" w14:textId="77777777" w:rsidR="00AD213E" w:rsidRDefault="00AD213E" w:rsidP="00AD213E">
      <w:pPr>
        <w:rPr>
          <w:rFonts w:ascii="Times New Roman" w:eastAsia="宋体" w:hAnsi="Times New Roman" w:cs="Times New Roman"/>
          <w:sz w:val="24"/>
        </w:rPr>
      </w:pPr>
    </w:p>
    <w:p w14:paraId="73834B60" w14:textId="77777777" w:rsidR="00772736" w:rsidRDefault="00D641D1" w:rsidP="00AD213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DAEA0D" wp14:editId="0151FEF8">
            <wp:extent cx="5039995" cy="1647190"/>
            <wp:effectExtent l="0" t="0" r="8255" b="0"/>
            <wp:docPr id="17935183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18366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4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EF9D49" w14:textId="328FF0D3" w:rsidR="00772736" w:rsidRDefault="00D641D1" w:rsidP="00AD213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Cross-sectional FIB-SEM images of </w:t>
      </w:r>
      <w:proofErr w:type="spellStart"/>
      <w:r>
        <w:rPr>
          <w:rFonts w:ascii="Times New Roman" w:hAnsi="Times New Roman"/>
          <w:bCs/>
          <w:sz w:val="24"/>
          <w:szCs w:val="24"/>
        </w:rPr>
        <w:t>Li@</w:t>
      </w:r>
      <w:proofErr w:type="gramStart"/>
      <w:r>
        <w:rPr>
          <w:rFonts w:ascii="Times New Roman" w:hAnsi="Times New Roman"/>
          <w:bCs/>
          <w:sz w:val="24"/>
          <w:szCs w:val="24"/>
        </w:rPr>
        <w:t>Mg</w:t>
      </w:r>
      <w:proofErr w:type="spellEnd"/>
      <w:r>
        <w:rPr>
          <w:rFonts w:ascii="Times New Roman" w:hAnsi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Cs/>
          <w:sz w:val="24"/>
          <w:szCs w:val="24"/>
        </w:rPr>
        <w:t>TFSI)</w:t>
      </w:r>
      <w:r>
        <w:rPr>
          <w:rFonts w:ascii="Times New Roman" w:hAnsi="Times New Roman" w:hint="eastAsia"/>
          <w:bCs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at different magnifications</w:t>
      </w:r>
      <w:r>
        <w:rPr>
          <w:rFonts w:ascii="Times New Roman" w:eastAsia="等线" w:hAnsi="Times New Roman" w:cs="Times New Roman" w:hint="eastAsia"/>
          <w:bCs/>
          <w:color w:val="0000FF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Cs/>
          <w:color w:val="000000" w:themeColor="text1"/>
          <w:sz w:val="24"/>
          <w:szCs w:val="24"/>
        </w:rPr>
        <w:t xml:space="preserve">with </w:t>
      </w:r>
      <w:r>
        <w:rPr>
          <w:rFonts w:ascii="Times New Roman" w:hAnsi="Times New Roman" w:hint="eastAsia"/>
          <w:bCs/>
          <w:color w:val="000000" w:themeColor="text1"/>
          <w:sz w:val="24"/>
          <w:szCs w:val="24"/>
        </w:rPr>
        <w:t>a)</w:t>
      </w:r>
      <w:r>
        <w:rPr>
          <w:rFonts w:ascii="Times New Roman" w:hAnsi="Times New Roman" w:hint="eastAsia"/>
          <w:bCs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>
        <w:rPr>
          <w:rFonts w:ascii="Times New Roman" w:hAnsi="Times New Roman" w:hint="eastAsia"/>
          <w:bCs/>
          <w:sz w:val="24"/>
          <w:szCs w:val="24"/>
        </w:rPr>
        <w:t>m</w:t>
      </w:r>
      <w:proofErr w:type="spellEnd"/>
      <w:r>
        <w:rPr>
          <w:rFonts w:ascii="Times New Roman" w:hAnsi="Times New Roman" w:hint="eastAsia"/>
          <w:bCs/>
          <w:sz w:val="24"/>
          <w:szCs w:val="24"/>
        </w:rPr>
        <w:t xml:space="preserve"> scale bar and </w:t>
      </w:r>
      <w:r>
        <w:rPr>
          <w:rFonts w:ascii="Times New Roman" w:hAnsi="Times New Roman" w:hint="eastAsia"/>
          <w:sz w:val="24"/>
          <w:szCs w:val="24"/>
        </w:rPr>
        <w:t xml:space="preserve">b) </w:t>
      </w:r>
      <w:r>
        <w:rPr>
          <w:rFonts w:ascii="Times New Roman" w:hAnsi="Times New Roman" w:hint="eastAsia"/>
          <w:bCs/>
          <w:sz w:val="24"/>
          <w:szCs w:val="24"/>
        </w:rPr>
        <w:t xml:space="preserve">1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>
        <w:rPr>
          <w:rFonts w:ascii="Times New Roman" w:hAnsi="Times New Roman" w:hint="eastAsia"/>
          <w:bCs/>
          <w:sz w:val="24"/>
          <w:szCs w:val="24"/>
        </w:rPr>
        <w:t>m</w:t>
      </w:r>
      <w:proofErr w:type="spellEnd"/>
      <w:r>
        <w:rPr>
          <w:rFonts w:ascii="Times New Roman" w:hAnsi="Times New Roman" w:hint="eastAsia"/>
          <w:bCs/>
          <w:sz w:val="24"/>
          <w:szCs w:val="24"/>
        </w:rPr>
        <w:t xml:space="preserve"> scale bar</w:t>
      </w:r>
    </w:p>
    <w:p w14:paraId="5716A5A5" w14:textId="1ADD805D" w:rsidR="00AD213E" w:rsidRDefault="00AD213E" w:rsidP="00AD213E">
      <w:pPr>
        <w:rPr>
          <w:rFonts w:ascii="Times New Roman" w:hAnsi="Times New Roman"/>
          <w:bCs/>
          <w:sz w:val="24"/>
          <w:szCs w:val="24"/>
        </w:rPr>
      </w:pPr>
    </w:p>
    <w:p w14:paraId="3E9225F5" w14:textId="77777777" w:rsidR="00AD213E" w:rsidRDefault="00AD213E" w:rsidP="00AD213E">
      <w:pPr>
        <w:rPr>
          <w:rFonts w:ascii="Times New Roman" w:eastAsia="宋体" w:hAnsi="Times New Roman" w:cs="Times New Roman" w:hint="eastAsia"/>
          <w:b/>
          <w:sz w:val="28"/>
          <w:szCs w:val="24"/>
        </w:rPr>
      </w:pPr>
    </w:p>
    <w:p w14:paraId="1971B34B" w14:textId="77777777" w:rsidR="00772736" w:rsidRDefault="00D641D1" w:rsidP="00AD213E">
      <w:pPr>
        <w:pStyle w:val="af0"/>
        <w:ind w:left="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41AF2884" wp14:editId="379BF1A0">
            <wp:extent cx="5399405" cy="935990"/>
            <wp:effectExtent l="0" t="0" r="0" b="0"/>
            <wp:docPr id="16566934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93435" name="图片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936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F7F972" w14:textId="77777777" w:rsidR="00772736" w:rsidRDefault="00D641D1" w:rsidP="00AD213E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SEM images of bare Li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Li@</w:t>
      </w:r>
      <w:proofErr w:type="gramStart"/>
      <w:r>
        <w:rPr>
          <w:rFonts w:ascii="Times New Roman" w:hAnsi="Times New Roman" w:cs="Times New Roman"/>
          <w:sz w:val="24"/>
          <w:szCs w:val="24"/>
        </w:rPr>
        <w:t>Mg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TFSI)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after </w:t>
      </w:r>
      <w:r>
        <w:rPr>
          <w:rFonts w:ascii="Times New Roman" w:hAnsi="Times New Roman" w:cs="Times New Roman"/>
          <w:sz w:val="24"/>
          <w:szCs w:val="24"/>
        </w:rPr>
        <w:t>Li deposition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hint="eastAsia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–2</w:t>
      </w:r>
    </w:p>
    <w:p w14:paraId="1F09FF80" w14:textId="77777777" w:rsidR="00496C5B" w:rsidRDefault="00496C5B" w:rsidP="00AD213E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A93C96A" w14:textId="2A97C424" w:rsidR="00496C5B" w:rsidRDefault="00496C5B" w:rsidP="00AD213E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020EE466" wp14:editId="0CC9DFD0">
            <wp:extent cx="5040000" cy="2302070"/>
            <wp:effectExtent l="0" t="0" r="8255" b="3175"/>
            <wp:docPr id="224952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0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53234" w14:textId="07C70E5C" w:rsidR="00496C5B" w:rsidRDefault="00496C5B" w:rsidP="00AD213E">
      <w:pP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>
        <w:rPr>
          <w:rFonts w:ascii="Times New Roman" w:eastAsia="宋体" w:hAnsi="Times New Roman" w:cs="Times New Roman"/>
          <w:b/>
          <w:sz w:val="24"/>
        </w:rPr>
        <w:t xml:space="preserve"> </w:t>
      </w:r>
      <w:r w:rsidRPr="00491EA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Schematic of </w:t>
      </w:r>
      <w:proofErr w:type="spellStart"/>
      <w:r w:rsidRPr="00491EA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Li@</w:t>
      </w:r>
      <w:proofErr w:type="gramStart"/>
      <w:r w:rsidRPr="00491EA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Mg</w:t>
      </w:r>
      <w:proofErr w:type="spellEnd"/>
      <w:r w:rsidRPr="00491EA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491EA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TFSI)</w:t>
      </w:r>
      <w:r w:rsidRPr="00491EAF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 w:rsidRPr="00491EA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array anode in liquid/solid</w:t>
      </w:r>
      <w:r w:rsidRPr="00491EAF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-state</w:t>
      </w:r>
      <w:r w:rsidRPr="00491EA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L</w:t>
      </w:r>
      <w:r w:rsidRPr="00491EAF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MB</w:t>
      </w:r>
      <w:r w:rsidRPr="00491EA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s. </w:t>
      </w:r>
      <w:r w:rsidRPr="00491EA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Structural array design </w:t>
      </w:r>
      <w:r w:rsidRPr="00491EA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by </w:t>
      </w:r>
      <w:r w:rsidRPr="00491EA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discrete Li </w:t>
      </w:r>
      <w:proofErr w:type="spellStart"/>
      <w:r w:rsidRPr="00491EA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microdisks</w:t>
      </w:r>
      <w:proofErr w:type="spellEnd"/>
      <w:r w:rsidRPr="00491EA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composition</w:t>
      </w:r>
      <w:r w:rsidRPr="00491EA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al</w:t>
      </w:r>
      <w:r w:rsidRPr="00491EA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modification </w:t>
      </w:r>
      <w:r w:rsidRPr="00491EA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by </w:t>
      </w:r>
      <w:proofErr w:type="gramStart"/>
      <w:r w:rsidRPr="00491EA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Mg(</w:t>
      </w:r>
      <w:proofErr w:type="gramEnd"/>
      <w:r w:rsidRPr="00491EA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TFSI)</w:t>
      </w:r>
      <w:r w:rsidRPr="00491EA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bscript"/>
        </w:rPr>
        <w:t>2</w:t>
      </w:r>
      <w:r w:rsidRPr="00491EA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-derived inorganic dopants synergistically enable uniform Li deposition, enhancing stability in both electrolyte systems</w:t>
      </w:r>
    </w:p>
    <w:p w14:paraId="7A7E978A" w14:textId="65888B35" w:rsidR="00AD213E" w:rsidRDefault="00AD213E" w:rsidP="00AD213E">
      <w:pP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425156AE" w14:textId="77777777" w:rsidR="00AD213E" w:rsidRPr="00496C5B" w:rsidRDefault="00AD213E" w:rsidP="00AD213E">
      <w:pPr>
        <w:rPr>
          <w:rFonts w:ascii="Times New Roman" w:eastAsia="宋体" w:hAnsi="Times New Roman" w:cs="Times New Roman" w:hint="eastAsia"/>
          <w:sz w:val="24"/>
        </w:rPr>
      </w:pPr>
    </w:p>
    <w:p w14:paraId="792962E7" w14:textId="77777777" w:rsidR="00772736" w:rsidRDefault="00D641D1" w:rsidP="00AD213E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07AF9CC2" wp14:editId="771D770B">
            <wp:extent cx="4319905" cy="3305175"/>
            <wp:effectExtent l="0" t="0" r="4445" b="9525"/>
            <wp:docPr id="8723853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85344" name="图片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305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4259D" w14:textId="3087C3FB" w:rsidR="00772736" w:rsidRDefault="00D641D1" w:rsidP="00AD213E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96C5B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>
        <w:rPr>
          <w:rFonts w:ascii="Times New Roman" w:eastAsia="宋体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Voltage </w:t>
      </w:r>
      <w:r>
        <w:rPr>
          <w:rFonts w:ascii="Times New Roman" w:hAnsi="Times New Roman" w:cs="Times New Roman" w:hint="eastAsia"/>
          <w:sz w:val="24"/>
          <w:szCs w:val="24"/>
        </w:rPr>
        <w:t>curve</w:t>
      </w:r>
      <w:r>
        <w:rPr>
          <w:rFonts w:ascii="Times New Roman" w:hAnsi="Times New Roman" w:cs="Times New Roman"/>
          <w:sz w:val="24"/>
          <w:szCs w:val="24"/>
        </w:rPr>
        <w:t xml:space="preserve">s of two parallel symmetric cells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Li@</w:t>
      </w:r>
      <w:proofErr w:type="gramStart"/>
      <w:r>
        <w:rPr>
          <w:rFonts w:ascii="Times New Roman" w:hAnsi="Times New Roman" w:cs="Times New Roman"/>
          <w:sz w:val="24"/>
          <w:szCs w:val="24"/>
        </w:rPr>
        <w:t>Mg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TFSI)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anodes at 1 mA cm⁻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@1 </w:t>
      </w:r>
      <w:proofErr w:type="spellStart"/>
      <w:r>
        <w:rPr>
          <w:rFonts w:ascii="Times New Roman" w:hAnsi="Times New Roman" w:cs="Times New Roman"/>
          <w:sz w:val="24"/>
          <w:szCs w:val="24"/>
        </w:rPr>
        <w:t>mAh</w:t>
      </w:r>
      <w:proofErr w:type="spellEnd"/>
      <w:r>
        <w:rPr>
          <w:rFonts w:ascii="Times New Roman" w:hAnsi="Times New Roman" w:cs="Times New Roman"/>
          <w:sz w:val="24"/>
          <w:szCs w:val="24"/>
        </w:rPr>
        <w:t> cm⁻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6E3CEE0" w14:textId="77777777" w:rsidR="00772736" w:rsidRDefault="00D641D1" w:rsidP="00AD213E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06CE685" wp14:editId="452A6A8F">
            <wp:extent cx="4031087" cy="3204137"/>
            <wp:effectExtent l="0" t="0" r="7620" b="0"/>
            <wp:docPr id="12254406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40675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6049" cy="3208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45537" w14:textId="457736AA" w:rsidR="00772736" w:rsidRDefault="00D641D1" w:rsidP="00AD213E">
      <w:pPr>
        <w:rPr>
          <w:rFonts w:ascii="Times New Roman" w:eastAsia="宋体" w:hAnsi="Times New Roman"/>
          <w:sz w:val="24"/>
          <w:szCs w:val="24"/>
          <w:vertAlign w:val="superscript"/>
        </w:rPr>
      </w:pPr>
      <w:bookmarkStart w:id="7" w:name="OLE_LINK21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96C5B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>
        <w:rPr>
          <w:rFonts w:ascii="Times New Roman" w:eastAsia="宋体" w:hAnsi="Times New Roman" w:cs="Times New Roman"/>
          <w:b/>
          <w:sz w:val="24"/>
        </w:rPr>
        <w:t xml:space="preserve"> </w:t>
      </w:r>
      <w:bookmarkEnd w:id="7"/>
      <w:r>
        <w:rPr>
          <w:rFonts w:ascii="Times New Roman" w:eastAsia="宋体" w:hAnsi="Times New Roman"/>
          <w:sz w:val="24"/>
          <w:szCs w:val="24"/>
        </w:rPr>
        <w:t xml:space="preserve">Voltage </w:t>
      </w:r>
      <w:r>
        <w:rPr>
          <w:rFonts w:ascii="Times New Roman" w:eastAsia="宋体" w:hAnsi="Times New Roman" w:hint="eastAsia"/>
          <w:sz w:val="24"/>
          <w:szCs w:val="24"/>
        </w:rPr>
        <w:t>curve</w:t>
      </w:r>
      <w:r>
        <w:rPr>
          <w:rFonts w:ascii="Times New Roman" w:eastAsia="宋体" w:hAnsi="Times New Roman"/>
          <w:sz w:val="24"/>
          <w:szCs w:val="24"/>
        </w:rPr>
        <w:t xml:space="preserve">s of two parallel symmetric cells using </w:t>
      </w:r>
      <w:r>
        <w:rPr>
          <w:rFonts w:ascii="Times New Roman" w:eastAsia="宋体" w:hAnsi="Times New Roman" w:hint="eastAsia"/>
          <w:sz w:val="24"/>
          <w:szCs w:val="24"/>
        </w:rPr>
        <w:t xml:space="preserve">bare </w:t>
      </w:r>
      <w:r>
        <w:rPr>
          <w:rFonts w:ascii="Times New Roman" w:eastAsia="宋体" w:hAnsi="Times New Roman"/>
          <w:sz w:val="24"/>
          <w:szCs w:val="24"/>
        </w:rPr>
        <w:t>Li anodes at 1 mA cm⁻</w:t>
      </w:r>
      <w:r>
        <w:rPr>
          <w:rFonts w:ascii="Times New Roman" w:eastAsia="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宋体" w:hAnsi="Times New Roman"/>
          <w:sz w:val="24"/>
          <w:szCs w:val="24"/>
        </w:rPr>
        <w:t>@1 </w:t>
      </w:r>
      <w:proofErr w:type="spellStart"/>
      <w:r>
        <w:rPr>
          <w:rFonts w:ascii="Times New Roman" w:eastAsia="宋体" w:hAnsi="Times New Roman"/>
          <w:sz w:val="24"/>
          <w:szCs w:val="24"/>
        </w:rPr>
        <w:t>mAh</w:t>
      </w:r>
      <w:proofErr w:type="spellEnd"/>
      <w:r>
        <w:rPr>
          <w:rFonts w:ascii="Times New Roman" w:eastAsia="宋体" w:hAnsi="Times New Roman"/>
          <w:sz w:val="24"/>
          <w:szCs w:val="24"/>
        </w:rPr>
        <w:t> cm⁻</w:t>
      </w:r>
      <w:r>
        <w:rPr>
          <w:rFonts w:ascii="Times New Roman" w:eastAsia="宋体" w:hAnsi="Times New Roman" w:hint="eastAsia"/>
          <w:sz w:val="24"/>
          <w:szCs w:val="24"/>
          <w:vertAlign w:val="superscript"/>
        </w:rPr>
        <w:t>2</w:t>
      </w:r>
    </w:p>
    <w:p w14:paraId="620ECA48" w14:textId="77777777" w:rsidR="00AD213E" w:rsidRDefault="00AD213E" w:rsidP="00AD213E">
      <w:pPr>
        <w:rPr>
          <w:rFonts w:ascii="Times New Roman" w:eastAsia="宋体" w:hAnsi="Times New Roman" w:hint="eastAsia"/>
          <w:sz w:val="24"/>
          <w:szCs w:val="24"/>
          <w:vertAlign w:val="superscript"/>
        </w:rPr>
      </w:pPr>
    </w:p>
    <w:p w14:paraId="7BC62A1E" w14:textId="77777777" w:rsidR="00772736" w:rsidRDefault="00D641D1" w:rsidP="00AD21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672E22E5" wp14:editId="6FFD8BC5">
            <wp:extent cx="4319905" cy="1737360"/>
            <wp:effectExtent l="0" t="0" r="4445" b="0"/>
            <wp:docPr id="188129067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90670" name="图片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37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4ACCF0" w14:textId="6C731594" w:rsidR="00772736" w:rsidRDefault="00D641D1" w:rsidP="00AD213E">
      <w:pPr>
        <w:rPr>
          <w:rFonts w:ascii="Times New Roman" w:eastAsia="宋体" w:hAnsi="Times New Roman" w:cs="Times New Roman"/>
          <w:bCs/>
          <w:sz w:val="24"/>
          <w:szCs w:val="24"/>
        </w:rPr>
      </w:pPr>
      <w:bookmarkStart w:id="8" w:name="OLE_LINK23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496C5B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eastAsia="宋体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Cycling performance of </w:t>
      </w:r>
      <w:r>
        <w:rPr>
          <w:rFonts w:ascii="Times New Roman" w:hAnsi="Times New Roman" w:cs="Times New Roman" w:hint="eastAsia"/>
          <w:sz w:val="24"/>
          <w:szCs w:val="24"/>
        </w:rPr>
        <w:t xml:space="preserve">bare 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 w:hint="eastAsia"/>
          <w:sz w:val="24"/>
          <w:szCs w:val="24"/>
        </w:rPr>
        <w:t xml:space="preserve"> film and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Li@</w:t>
      </w:r>
      <w:proofErr w:type="gramStart"/>
      <w:r>
        <w:rPr>
          <w:rFonts w:ascii="Times New Roman" w:hAnsi="Times New Roman" w:hint="eastAsia"/>
          <w:sz w:val="24"/>
          <w:szCs w:val="24"/>
        </w:rPr>
        <w:t>Mg</w:t>
      </w:r>
      <w:proofErr w:type="spellEnd"/>
      <w:r>
        <w:rPr>
          <w:rFonts w:ascii="Times New Roman" w:hAnsi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hint="eastAsia"/>
          <w:sz w:val="24"/>
          <w:szCs w:val="24"/>
        </w:rPr>
        <w:t>TFSI)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film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paired with LFP cathode (12.3 mg cm</w:t>
      </w:r>
      <w:bookmarkStart w:id="9" w:name="OLE_LINK3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bookmarkEnd w:id="9"/>
      <w:r>
        <w:rPr>
          <w:rFonts w:ascii="Times New Roman" w:eastAsia="宋体" w:hAnsi="Times New Roman" w:cs="Times New Roman"/>
          <w:bCs/>
          <w:sz w:val="24"/>
          <w:szCs w:val="24"/>
        </w:rPr>
        <w:t>, N/P = 1.0)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at 0.5 C</w:t>
      </w:r>
      <w:bookmarkEnd w:id="8"/>
    </w:p>
    <w:p w14:paraId="160FBE69" w14:textId="77777777" w:rsidR="00AD213E" w:rsidRDefault="00AD213E" w:rsidP="00AD213E">
      <w:pPr>
        <w:rPr>
          <w:rFonts w:ascii="Times New Roman" w:eastAsia="宋体" w:hAnsi="Times New Roman" w:cs="Times New Roman"/>
          <w:b/>
          <w:sz w:val="28"/>
          <w:szCs w:val="24"/>
        </w:rPr>
      </w:pPr>
    </w:p>
    <w:p w14:paraId="5CA4FFC2" w14:textId="77777777" w:rsidR="00772736" w:rsidRDefault="00D641D1" w:rsidP="00AD21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E809F0" wp14:editId="1CD22251">
            <wp:extent cx="4319905" cy="1711325"/>
            <wp:effectExtent l="0" t="0" r="4445" b="3175"/>
            <wp:docPr id="19434199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19914" name="图片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1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496F5" w14:textId="75FB7ED4" w:rsidR="00772736" w:rsidRDefault="00D641D1" w:rsidP="00AD213E">
      <w:pPr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496C5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Cycling performance of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full cell comprising </w:t>
      </w:r>
      <w:bookmarkStart w:id="10" w:name="_Hlk230345957"/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Li@</w:t>
      </w:r>
      <w:proofErr w:type="gramStart"/>
      <w:r>
        <w:rPr>
          <w:rFonts w:ascii="Times New Roman" w:hAnsi="Times New Roman" w:cs="Times New Roman"/>
          <w:sz w:val="24"/>
          <w:szCs w:val="24"/>
        </w:rPr>
        <w:t>Mg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TFSI)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bookmarkEnd w:id="10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anode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of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20 </w:t>
      </w: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μm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and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high-loading Ni92 cathode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/>
          <w:bCs/>
          <w:sz w:val="24"/>
          <w:szCs w:val="24"/>
        </w:rPr>
        <w:t>22.9 mg cm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14:paraId="02501AE9" w14:textId="77777777" w:rsidR="00772736" w:rsidRDefault="00D641D1" w:rsidP="00AD213E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47B4715" wp14:editId="4862B94F">
            <wp:extent cx="4319905" cy="1736725"/>
            <wp:effectExtent l="0" t="0" r="4445" b="0"/>
            <wp:docPr id="1747488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88394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36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51151" w14:textId="0746C226" w:rsidR="00772736" w:rsidRDefault="00D641D1" w:rsidP="00AD2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496C5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eastAsia="宋体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Cycling performance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SSLMB with high-loading LCO cathode</w:t>
      </w:r>
    </w:p>
    <w:p w14:paraId="4092E93F" w14:textId="77777777" w:rsidR="00AD213E" w:rsidRDefault="00AD213E" w:rsidP="00AD213E">
      <w:pPr>
        <w:rPr>
          <w:rFonts w:ascii="Times New Roman" w:hAnsi="Times New Roman" w:cs="Times New Roman"/>
          <w:sz w:val="24"/>
          <w:szCs w:val="24"/>
        </w:rPr>
      </w:pPr>
    </w:p>
    <w:p w14:paraId="671644DD" w14:textId="77777777" w:rsidR="00772736" w:rsidRDefault="00D641D1" w:rsidP="00AD21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E6BECE2" wp14:editId="5D6B6421">
            <wp:extent cx="4627245" cy="2103120"/>
            <wp:effectExtent l="0" t="0" r="1905" b="0"/>
            <wp:docPr id="1421625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25391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A2748F" w14:textId="77777777" w:rsidR="00AD213E" w:rsidRDefault="00D641D1" w:rsidP="00AD213E">
      <w:pPr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496C5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a) First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noBreakHyphen/>
        <w:t xml:space="preserve">cycle voltage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curve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s of </w:t>
      </w:r>
      <w:proofErr w:type="spellStart"/>
      <w:r>
        <w:rPr>
          <w:rFonts w:ascii="Times New Roman" w:eastAsia="宋体" w:hAnsi="Times New Roman"/>
          <w:color w:val="000000" w:themeColor="text1"/>
          <w:sz w:val="24"/>
          <w:szCs w:val="24"/>
        </w:rPr>
        <w:t>Li@</w:t>
      </w:r>
      <w:proofErr w:type="gramStart"/>
      <w:r>
        <w:rPr>
          <w:rFonts w:ascii="Times New Roman" w:eastAsia="宋体" w:hAnsi="Times New Roman"/>
          <w:color w:val="000000" w:themeColor="text1"/>
          <w:sz w:val="24"/>
          <w:szCs w:val="24"/>
        </w:rPr>
        <w:t>Mg</w:t>
      </w:r>
      <w:proofErr w:type="spellEnd"/>
      <w:r>
        <w:rPr>
          <w:rFonts w:ascii="Times New Roman" w:eastAsia="宋体" w:hAnsi="Times New Roman"/>
          <w:color w:val="000000" w:themeColor="text1"/>
          <w:sz w:val="24"/>
          <w:szCs w:val="24"/>
        </w:rPr>
        <w:t>(</w:t>
      </w:r>
      <w:proofErr w:type="gramEnd"/>
      <w:r>
        <w:rPr>
          <w:rFonts w:ascii="Times New Roman" w:eastAsia="宋体" w:hAnsi="Times New Roman"/>
          <w:color w:val="000000" w:themeColor="text1"/>
          <w:sz w:val="24"/>
          <w:szCs w:val="24"/>
        </w:rPr>
        <w:t>TFSI)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and bare Li full cells (same cathode), showing a ≈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10% higher initial Coulombic efficiency for the modified anode. b) Nyquist plots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at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fresh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state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and after the first cycle, demonstrating lower and decreasing interfacial resistance for </w:t>
      </w:r>
      <w:proofErr w:type="spellStart"/>
      <w:r>
        <w:rPr>
          <w:rFonts w:ascii="Times New Roman" w:eastAsia="宋体" w:hAnsi="Times New Roman"/>
          <w:color w:val="000000" w:themeColor="text1"/>
          <w:sz w:val="24"/>
          <w:szCs w:val="24"/>
        </w:rPr>
        <w:t>Li@</w:t>
      </w:r>
      <w:proofErr w:type="gramStart"/>
      <w:r>
        <w:rPr>
          <w:rFonts w:ascii="Times New Roman" w:eastAsia="宋体" w:hAnsi="Times New Roman"/>
          <w:color w:val="000000" w:themeColor="text1"/>
          <w:sz w:val="24"/>
          <w:szCs w:val="24"/>
        </w:rPr>
        <w:t>Mg</w:t>
      </w:r>
      <w:proofErr w:type="spellEnd"/>
      <w:r>
        <w:rPr>
          <w:rFonts w:ascii="Times New Roman" w:eastAsia="宋体" w:hAnsi="Times New Roman"/>
          <w:color w:val="000000" w:themeColor="text1"/>
          <w:sz w:val="24"/>
          <w:szCs w:val="24"/>
        </w:rPr>
        <w:t>(</w:t>
      </w:r>
      <w:proofErr w:type="gramEnd"/>
      <w:r>
        <w:rPr>
          <w:rFonts w:ascii="Times New Roman" w:eastAsia="宋体" w:hAnsi="Times New Roman"/>
          <w:color w:val="000000" w:themeColor="text1"/>
          <w:sz w:val="24"/>
          <w:szCs w:val="24"/>
        </w:rPr>
        <w:t>TFSI)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versus higher and increasing resistance for bare Li.</w:t>
      </w:r>
      <w:bookmarkStart w:id="11" w:name="_Hlk170302951"/>
    </w:p>
    <w:p w14:paraId="6F433FBF" w14:textId="767982F9" w:rsidR="00772736" w:rsidRPr="00AD213E" w:rsidRDefault="00D641D1" w:rsidP="00AD213E">
      <w:pPr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 xml:space="preserve">S2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S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upp</w:t>
      </w: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14:ligatures w14:val="none"/>
        </w:rPr>
        <w:t>orting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Tables</w:t>
      </w:r>
    </w:p>
    <w:p w14:paraId="01F16359" w14:textId="295E4D38" w:rsidR="00772736" w:rsidRDefault="00D641D1" w:rsidP="00AD213E">
      <w:pPr>
        <w:autoSpaceDE w:val="0"/>
        <w:autoSpaceDN w:val="0"/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Calibri"/>
          <w:b/>
          <w:sz w:val="24"/>
          <w:szCs w:val="24"/>
        </w:rPr>
        <w:t xml:space="preserve">Table </w:t>
      </w:r>
      <w:r>
        <w:rPr>
          <w:rFonts w:ascii="Times New Roman" w:hAnsi="Times New Roman" w:cs="Calibri" w:hint="eastAsia"/>
          <w:b/>
          <w:sz w:val="24"/>
          <w:szCs w:val="24"/>
        </w:rPr>
        <w:t>S</w:t>
      </w:r>
      <w:r>
        <w:rPr>
          <w:rFonts w:ascii="Times New Roman" w:hAnsi="Times New Roman" w:cs="Calibri"/>
          <w:b/>
          <w:sz w:val="24"/>
          <w:szCs w:val="24"/>
        </w:rPr>
        <w:t>1</w:t>
      </w:r>
      <w:r>
        <w:rPr>
          <w:rFonts w:ascii="Times New Roman" w:hAnsi="Times New Roman" w:cs="Calibri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Parameters used in the energy density calculation</w:t>
      </w:r>
      <w:r>
        <w:rPr>
          <w:rFonts w:ascii="Times New Roman" w:hAnsi="Times New Roman" w:hint="eastAsia"/>
          <w:sz w:val="24"/>
          <w:szCs w:val="24"/>
        </w:rPr>
        <w:t xml:space="preserve"> at </w:t>
      </w:r>
      <w:r>
        <w:rPr>
          <w:rFonts w:ascii="Times New Roman" w:hAnsi="Times New Roman"/>
          <w:sz w:val="24"/>
          <w:szCs w:val="24"/>
        </w:rPr>
        <w:t>stack level conducted in this work</w:t>
      </w:r>
      <w:bookmarkEnd w:id="11"/>
    </w:p>
    <w:tbl>
      <w:tblPr>
        <w:tblW w:w="461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4595"/>
      </w:tblGrid>
      <w:tr w:rsidR="00772736" w:rsidRPr="00AD213E" w14:paraId="419E06C8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vAlign w:val="center"/>
          </w:tcPr>
          <w:p w14:paraId="247D029C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Item</w:t>
            </w:r>
          </w:p>
        </w:tc>
        <w:tc>
          <w:tcPr>
            <w:tcW w:w="3001" w:type="pct"/>
            <w:tcBorders>
              <w:top w:val="single" w:sz="12" w:space="0" w:color="auto"/>
              <w:left w:val="single" w:sz="8" w:space="0" w:color="FFFFFF"/>
              <w:right w:val="single" w:sz="8" w:space="0" w:color="FFFFFF"/>
            </w:tcBorders>
            <w:vAlign w:val="center"/>
          </w:tcPr>
          <w:p w14:paraId="6AD9D3C4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P</w:t>
            </w:r>
            <w:r w:rsidRPr="00AD213E">
              <w:rPr>
                <w:rFonts w:ascii="Times New Roman" w:hAnsi="Times New Roman" w:hint="eastAsia"/>
                <w:szCs w:val="21"/>
              </w:rPr>
              <w:t>arameters</w:t>
            </w:r>
          </w:p>
        </w:tc>
      </w:tr>
      <w:tr w:rsidR="00772736" w:rsidRPr="00AD213E" w14:paraId="032C5312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single" w:sz="12" w:space="0" w:color="auto"/>
              <w:left w:val="single" w:sz="8" w:space="0" w:color="FFFFFF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6F4CE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Theoretical s</w:t>
            </w:r>
            <w:r w:rsidRPr="00AD213E">
              <w:rPr>
                <w:rFonts w:ascii="Times New Roman" w:hAnsi="Times New Roman"/>
                <w:szCs w:val="21"/>
              </w:rPr>
              <w:t>pecific capacity of active materials (AM) (</w:t>
            </w:r>
            <w:proofErr w:type="spellStart"/>
            <w:r w:rsidRPr="00AD213E">
              <w:rPr>
                <w:rFonts w:ascii="Times New Roman" w:hAnsi="Times New Roman"/>
                <w:szCs w:val="21"/>
              </w:rPr>
              <w:t>mAh</w:t>
            </w:r>
            <w:proofErr w:type="spellEnd"/>
            <w:r w:rsidRPr="00AD213E">
              <w:rPr>
                <w:rFonts w:ascii="Times New Roman" w:hAnsi="Times New Roman"/>
                <w:szCs w:val="21"/>
              </w:rPr>
              <w:t xml:space="preserve"> g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1</w:t>
            </w:r>
            <w:r w:rsidRPr="00AD213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001" w:type="pct"/>
            <w:tcBorders>
              <w:top w:val="single" w:sz="12" w:space="0" w:color="auto"/>
              <w:left w:val="nil"/>
            </w:tcBorders>
            <w:vAlign w:val="center"/>
          </w:tcPr>
          <w:p w14:paraId="7C9A6DFB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LFP: 170</w:t>
            </w:r>
          </w:p>
          <w:p w14:paraId="4B7A2CA5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NCM811</w:t>
            </w:r>
            <w:r w:rsidRPr="00AD213E">
              <w:rPr>
                <w:rFonts w:ascii="Times New Roman" w:hAnsi="Times New Roman"/>
                <w:szCs w:val="21"/>
              </w:rPr>
              <w:t xml:space="preserve">: </w:t>
            </w:r>
            <w:r w:rsidRPr="00AD213E">
              <w:rPr>
                <w:rFonts w:ascii="Times New Roman" w:hAnsi="Times New Roman" w:hint="eastAsia"/>
                <w:szCs w:val="21"/>
              </w:rPr>
              <w:t>279</w:t>
            </w:r>
          </w:p>
          <w:p w14:paraId="290F9687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Ni92: 279</w:t>
            </w:r>
          </w:p>
          <w:p w14:paraId="560E71B0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Li metal: 3</w:t>
            </w:r>
            <w:r w:rsidRPr="00AD213E">
              <w:rPr>
                <w:rFonts w:ascii="Times New Roman" w:hAnsi="Times New Roman" w:hint="eastAsia"/>
                <w:szCs w:val="21"/>
              </w:rPr>
              <w:t>,</w:t>
            </w:r>
            <w:r w:rsidRPr="00AD213E">
              <w:rPr>
                <w:rFonts w:ascii="Times New Roman" w:hAnsi="Times New Roman"/>
                <w:szCs w:val="21"/>
              </w:rPr>
              <w:t>862</w:t>
            </w:r>
          </w:p>
        </w:tc>
      </w:tr>
      <w:tr w:rsidR="00772736" w:rsidRPr="00AD213E" w14:paraId="1BD9E943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567B7CC1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Practical s</w:t>
            </w:r>
            <w:r w:rsidRPr="00AD213E">
              <w:rPr>
                <w:rFonts w:ascii="Times New Roman" w:hAnsi="Times New Roman"/>
                <w:szCs w:val="21"/>
              </w:rPr>
              <w:t>pecific capacity of AM (</w:t>
            </w:r>
            <w:proofErr w:type="spellStart"/>
            <w:r w:rsidRPr="00AD213E">
              <w:rPr>
                <w:rFonts w:ascii="Times New Roman" w:hAnsi="Times New Roman"/>
                <w:szCs w:val="21"/>
              </w:rPr>
              <w:t>mAh</w:t>
            </w:r>
            <w:proofErr w:type="spellEnd"/>
            <w:r w:rsidRPr="00AD213E">
              <w:rPr>
                <w:rFonts w:ascii="Times New Roman" w:hAnsi="Times New Roman"/>
                <w:szCs w:val="21"/>
              </w:rPr>
              <w:t xml:space="preserve"> g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1</w:t>
            </w:r>
            <w:r w:rsidRPr="00AD213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5A6DE031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LFP: 150</w:t>
            </w:r>
          </w:p>
          <w:p w14:paraId="443E8DBE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NCM811</w:t>
            </w:r>
            <w:r w:rsidRPr="00AD213E">
              <w:rPr>
                <w:rFonts w:ascii="Times New Roman" w:hAnsi="Times New Roman"/>
                <w:szCs w:val="21"/>
              </w:rPr>
              <w:t xml:space="preserve">: </w:t>
            </w:r>
            <w:r w:rsidRPr="00AD213E">
              <w:rPr>
                <w:rFonts w:ascii="Times New Roman" w:hAnsi="Times New Roman" w:hint="eastAsia"/>
                <w:szCs w:val="21"/>
              </w:rPr>
              <w:t>200</w:t>
            </w:r>
          </w:p>
          <w:p w14:paraId="2ED098FA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Ni92: 210</w:t>
            </w:r>
          </w:p>
          <w:p w14:paraId="13897854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Li metal: 3</w:t>
            </w:r>
            <w:r w:rsidRPr="00AD213E">
              <w:rPr>
                <w:rFonts w:ascii="Times New Roman" w:hAnsi="Times New Roman" w:hint="eastAsia"/>
                <w:szCs w:val="21"/>
              </w:rPr>
              <w:t>,</w:t>
            </w:r>
            <w:r w:rsidRPr="00AD213E">
              <w:rPr>
                <w:rFonts w:ascii="Times New Roman" w:hAnsi="Times New Roman"/>
                <w:szCs w:val="21"/>
              </w:rPr>
              <w:t>862</w:t>
            </w:r>
          </w:p>
        </w:tc>
      </w:tr>
      <w:tr w:rsidR="00772736" w:rsidRPr="00AD213E" w14:paraId="2F6EEEF3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11D67267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Mean discharge voltage (V)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6AEFA2B2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 xml:space="preserve">LFP based </w:t>
            </w:r>
            <w:r w:rsidRPr="00AD213E">
              <w:rPr>
                <w:rFonts w:ascii="Times New Roman" w:hAnsi="Times New Roman"/>
                <w:szCs w:val="21"/>
              </w:rPr>
              <w:t>LMB: 3.</w:t>
            </w:r>
            <w:r w:rsidRPr="00AD213E">
              <w:rPr>
                <w:rFonts w:ascii="Times New Roman" w:hAnsi="Times New Roman" w:hint="eastAsia"/>
                <w:szCs w:val="21"/>
              </w:rPr>
              <w:t>2</w:t>
            </w:r>
          </w:p>
          <w:p w14:paraId="0641793C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 xml:space="preserve">NCM811 based </w:t>
            </w:r>
            <w:r w:rsidRPr="00AD213E">
              <w:rPr>
                <w:rFonts w:ascii="Times New Roman" w:hAnsi="Times New Roman"/>
                <w:szCs w:val="21"/>
              </w:rPr>
              <w:t>LMB: 3.</w:t>
            </w:r>
            <w:r w:rsidRPr="00AD213E">
              <w:rPr>
                <w:rFonts w:ascii="Times New Roman" w:hAnsi="Times New Roman" w:hint="eastAsia"/>
                <w:szCs w:val="21"/>
              </w:rPr>
              <w:t>7</w:t>
            </w:r>
          </w:p>
          <w:p w14:paraId="18D49BEF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 xml:space="preserve">Ni92 based </w:t>
            </w:r>
            <w:r w:rsidRPr="00AD213E">
              <w:rPr>
                <w:rFonts w:ascii="Times New Roman" w:hAnsi="Times New Roman"/>
                <w:szCs w:val="21"/>
              </w:rPr>
              <w:t>LMB: 3.</w:t>
            </w:r>
            <w:r w:rsidRPr="00AD213E">
              <w:rPr>
                <w:rFonts w:ascii="Times New Roman" w:hAnsi="Times New Roman" w:hint="eastAsia"/>
                <w:szCs w:val="21"/>
              </w:rPr>
              <w:t>85</w:t>
            </w:r>
          </w:p>
        </w:tc>
      </w:tr>
      <w:tr w:rsidR="00772736" w:rsidRPr="00AD213E" w14:paraId="66F5FFF9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4DD1B2EC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Density (g cm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3</w:t>
            </w:r>
            <w:r w:rsidRPr="00AD213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00C9EEFD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LFP: 3.6</w:t>
            </w:r>
          </w:p>
          <w:p w14:paraId="5DE21EEC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NCM811</w:t>
            </w:r>
            <w:r w:rsidRPr="00AD213E">
              <w:rPr>
                <w:rFonts w:ascii="Times New Roman" w:hAnsi="Times New Roman"/>
                <w:szCs w:val="21"/>
              </w:rPr>
              <w:t xml:space="preserve">: </w:t>
            </w:r>
            <w:r w:rsidRPr="00AD213E">
              <w:rPr>
                <w:rFonts w:ascii="Times New Roman" w:hAnsi="Times New Roman" w:hint="eastAsia"/>
                <w:szCs w:val="21"/>
              </w:rPr>
              <w:t>4.8</w:t>
            </w:r>
          </w:p>
          <w:p w14:paraId="46C93AB9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Ni92: 4.8</w:t>
            </w:r>
          </w:p>
          <w:p w14:paraId="30DE9B3B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Li metal: 0.53</w:t>
            </w:r>
          </w:p>
        </w:tc>
      </w:tr>
      <w:tr w:rsidR="00772736" w:rsidRPr="00AD213E" w14:paraId="2B489243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0669CF9F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lastRenderedPageBreak/>
              <w:t>Thickness</w:t>
            </w:r>
            <w:r w:rsidRPr="00AD213E">
              <w:rPr>
                <w:rFonts w:ascii="Times New Roman" w:hAnsi="Times New Roman" w:hint="eastAsia"/>
                <w:szCs w:val="21"/>
              </w:rPr>
              <w:t xml:space="preserve"> of cathode (</w:t>
            </w:r>
            <w:proofErr w:type="spellStart"/>
            <w:r w:rsidRPr="00AD213E">
              <w:rPr>
                <w:rFonts w:ascii="Times New Roman" w:hAnsi="Times New Roman"/>
                <w:szCs w:val="21"/>
              </w:rPr>
              <w:t>μm</w:t>
            </w:r>
            <w:proofErr w:type="spellEnd"/>
            <w:r w:rsidRPr="00AD213E">
              <w:rPr>
                <w:rFonts w:ascii="Times New Roman" w:hAnsi="Times New Roman" w:hint="eastAsia"/>
                <w:szCs w:val="21"/>
              </w:rPr>
              <w:t>)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244ECA46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 xml:space="preserve">LFP of 20.0 </w:t>
            </w:r>
            <w:r w:rsidRPr="00AD213E">
              <w:rPr>
                <w:rFonts w:ascii="Times New Roman" w:hAnsi="Times New Roman" w:cs="Times New Roman"/>
                <w:szCs w:val="21"/>
              </w:rPr>
              <w:t>mg cm</w:t>
            </w:r>
            <w:r w:rsidRPr="00AD213E">
              <w:rPr>
                <w:rFonts w:ascii="Times New Roman" w:hAnsi="Times New Roman" w:cs="Times New Roman"/>
                <w:szCs w:val="21"/>
                <w:vertAlign w:val="superscript"/>
              </w:rPr>
              <w:t>–2</w:t>
            </w:r>
            <w:r w:rsidRPr="00AD213E">
              <w:rPr>
                <w:rFonts w:ascii="Times New Roman" w:hAnsi="Times New Roman"/>
                <w:szCs w:val="21"/>
              </w:rPr>
              <w:t xml:space="preserve">: </w:t>
            </w:r>
            <w:r w:rsidRPr="00AD213E">
              <w:rPr>
                <w:rFonts w:ascii="Times New Roman" w:hAnsi="Times New Roman" w:hint="eastAsia"/>
                <w:szCs w:val="21"/>
              </w:rPr>
              <w:t>84</w:t>
            </w:r>
          </w:p>
          <w:p w14:paraId="7DB2AC27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 xml:space="preserve">NCM811 of 16.9 </w:t>
            </w:r>
            <w:r w:rsidRPr="00AD213E">
              <w:rPr>
                <w:rFonts w:ascii="Times New Roman" w:hAnsi="Times New Roman" w:cs="Times New Roman"/>
                <w:szCs w:val="21"/>
              </w:rPr>
              <w:t>mg cm</w:t>
            </w:r>
            <w:r w:rsidRPr="00AD213E">
              <w:rPr>
                <w:rFonts w:ascii="Times New Roman" w:hAnsi="Times New Roman" w:cs="Times New Roman"/>
                <w:szCs w:val="21"/>
                <w:vertAlign w:val="superscript"/>
              </w:rPr>
              <w:t>–2</w:t>
            </w:r>
            <w:r w:rsidRPr="00AD213E">
              <w:rPr>
                <w:rFonts w:ascii="Times New Roman" w:hAnsi="Times New Roman"/>
                <w:szCs w:val="21"/>
              </w:rPr>
              <w:t xml:space="preserve">: </w:t>
            </w:r>
            <w:r w:rsidRPr="00AD213E">
              <w:rPr>
                <w:rFonts w:ascii="Times New Roman" w:hAnsi="Times New Roman" w:hint="eastAsia"/>
                <w:szCs w:val="21"/>
              </w:rPr>
              <w:t>54</w:t>
            </w:r>
          </w:p>
          <w:p w14:paraId="4A83545F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 xml:space="preserve">Ni92 of 22.9 </w:t>
            </w:r>
            <w:r w:rsidRPr="00AD213E">
              <w:rPr>
                <w:rFonts w:ascii="Times New Roman" w:hAnsi="Times New Roman" w:cs="Times New Roman"/>
                <w:szCs w:val="21"/>
              </w:rPr>
              <w:t>mg cm</w:t>
            </w:r>
            <w:r w:rsidRPr="00AD213E">
              <w:rPr>
                <w:rFonts w:ascii="Times New Roman" w:hAnsi="Times New Roman" w:cs="Times New Roman"/>
                <w:szCs w:val="21"/>
                <w:vertAlign w:val="superscript"/>
              </w:rPr>
              <w:t>–2</w:t>
            </w:r>
            <w:r w:rsidRPr="00AD213E">
              <w:rPr>
                <w:rFonts w:ascii="Times New Roman" w:hAnsi="Times New Roman"/>
                <w:szCs w:val="21"/>
              </w:rPr>
              <w:t xml:space="preserve">: </w:t>
            </w:r>
            <w:r w:rsidRPr="00AD213E">
              <w:rPr>
                <w:rFonts w:ascii="Times New Roman" w:hAnsi="Times New Roman" w:hint="eastAsia"/>
                <w:szCs w:val="21"/>
              </w:rPr>
              <w:t>68</w:t>
            </w:r>
          </w:p>
        </w:tc>
      </w:tr>
      <w:tr w:rsidR="00772736" w:rsidRPr="00AD213E" w14:paraId="732AB975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1A1FCE56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Electrolyte</w:t>
            </w:r>
            <w:r w:rsidRPr="00AD213E">
              <w:rPr>
                <w:rFonts w:ascii="Times New Roman" w:hAnsi="Times New Roman" w:hint="eastAsia"/>
                <w:szCs w:val="21"/>
              </w:rPr>
              <w:t xml:space="preserve"> (</w:t>
            </w:r>
            <w:r w:rsidRPr="00AD213E">
              <w:rPr>
                <w:rFonts w:ascii="Times New Roman" w:hAnsi="Times New Roman"/>
                <w:szCs w:val="21"/>
              </w:rPr>
              <w:t>g cm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3</w:t>
            </w:r>
            <w:r w:rsidRPr="00AD213E">
              <w:rPr>
                <w:rFonts w:ascii="Times New Roman" w:hAnsi="Times New Roman" w:hint="eastAsia"/>
                <w:szCs w:val="21"/>
              </w:rPr>
              <w:t>)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513B8358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 xml:space="preserve">Density: 1.20 </w:t>
            </w:r>
          </w:p>
        </w:tc>
      </w:tr>
      <w:tr w:rsidR="00772736" w:rsidRPr="00AD213E" w14:paraId="5F570A39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4919AC53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Practical electrolyte excess with respect to pore volume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78F4B880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15%</w:t>
            </w:r>
          </w:p>
        </w:tc>
      </w:tr>
      <w:tr w:rsidR="00772736" w:rsidRPr="00AD213E" w14:paraId="48B35E66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29301323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Separator (</w:t>
            </w:r>
            <w:proofErr w:type="spellStart"/>
            <w:r w:rsidRPr="00AD213E">
              <w:rPr>
                <w:rFonts w:ascii="Times New Roman" w:hAnsi="Times New Roman"/>
                <w:szCs w:val="21"/>
              </w:rPr>
              <w:t>Celgard</w:t>
            </w:r>
            <w:proofErr w:type="spellEnd"/>
            <w:r w:rsidRPr="00AD213E">
              <w:rPr>
                <w:rFonts w:ascii="Times New Roman" w:hAnsi="Times New Roman"/>
                <w:szCs w:val="21"/>
              </w:rPr>
              <w:t xml:space="preserve"> 2320)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345AE4CE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Density: 0.95 g cm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3</w:t>
            </w:r>
          </w:p>
          <w:p w14:paraId="1E088A6E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Porosity: 39%</w:t>
            </w:r>
          </w:p>
        </w:tc>
      </w:tr>
      <w:tr w:rsidR="00772736" w:rsidRPr="00AD213E" w14:paraId="012F65FA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243950FD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Binder and conductive additive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45E4BCE5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Binder: 1.80 g cm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3</w:t>
            </w:r>
          </w:p>
          <w:p w14:paraId="732F85DD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Conductive additive: 2.25 g cm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3</w:t>
            </w:r>
          </w:p>
        </w:tc>
      </w:tr>
      <w:tr w:rsidR="00772736" w:rsidRPr="00AD213E" w14:paraId="06F23F01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6" w:space="0" w:color="000000"/>
            </w:tcBorders>
            <w:vAlign w:val="center"/>
          </w:tcPr>
          <w:p w14:paraId="1267D082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AM, binder, and conductive additive mass fraction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33B6D6E8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LFP</w:t>
            </w:r>
            <w:r w:rsidRPr="00AD213E">
              <w:rPr>
                <w:rFonts w:ascii="Times New Roman" w:hAnsi="Times New Roman"/>
                <w:szCs w:val="21"/>
              </w:rPr>
              <w:t xml:space="preserve"> cathode: 96:2:2 </w:t>
            </w:r>
          </w:p>
          <w:p w14:paraId="085F52CC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NCM811</w:t>
            </w:r>
            <w:r w:rsidRPr="00AD213E">
              <w:rPr>
                <w:rFonts w:ascii="Times New Roman" w:hAnsi="Times New Roman"/>
                <w:szCs w:val="21"/>
              </w:rPr>
              <w:t xml:space="preserve"> cathode: 96:2:2</w:t>
            </w:r>
          </w:p>
          <w:p w14:paraId="4BF80309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Ni92</w:t>
            </w:r>
            <w:r w:rsidRPr="00AD213E">
              <w:rPr>
                <w:rFonts w:ascii="Times New Roman" w:hAnsi="Times New Roman"/>
                <w:szCs w:val="21"/>
              </w:rPr>
              <w:t xml:space="preserve"> cathode: 96:2:2 </w:t>
            </w:r>
          </w:p>
          <w:p w14:paraId="049944D4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Li metal: 100:0:0</w:t>
            </w:r>
          </w:p>
        </w:tc>
      </w:tr>
      <w:tr w:rsidR="00772736" w:rsidRPr="00AD213E" w14:paraId="6420E671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dashSmallGap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7AF81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 xml:space="preserve">Maximum volume </w:t>
            </w:r>
            <w:r w:rsidRPr="00AD213E">
              <w:rPr>
                <w:rFonts w:ascii="Times New Roman" w:hAnsi="Times New Roman"/>
                <w:szCs w:val="21"/>
              </w:rPr>
              <w:t>change during discharge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</w:tcBorders>
            <w:vAlign w:val="center"/>
          </w:tcPr>
          <w:p w14:paraId="22C4ACCD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LFP</w:t>
            </w:r>
            <w:r w:rsidRPr="00AD213E">
              <w:rPr>
                <w:rFonts w:ascii="Times New Roman" w:hAnsi="Times New Roman"/>
                <w:szCs w:val="21"/>
              </w:rPr>
              <w:t>: −</w:t>
            </w:r>
            <w:r w:rsidRPr="00AD213E">
              <w:rPr>
                <w:rFonts w:ascii="Times New Roman" w:hAnsi="Times New Roman" w:hint="eastAsia"/>
                <w:szCs w:val="21"/>
              </w:rPr>
              <w:t>6.8</w:t>
            </w:r>
            <w:r w:rsidRPr="00AD213E">
              <w:rPr>
                <w:rFonts w:ascii="Times New Roman" w:hAnsi="Times New Roman"/>
                <w:szCs w:val="21"/>
              </w:rPr>
              <w:t xml:space="preserve">% </w:t>
            </w:r>
          </w:p>
          <w:p w14:paraId="6E25EC24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NCM811</w:t>
            </w:r>
            <w:r w:rsidRPr="00AD213E">
              <w:rPr>
                <w:rFonts w:ascii="Times New Roman" w:hAnsi="Times New Roman"/>
                <w:szCs w:val="21"/>
              </w:rPr>
              <w:t xml:space="preserve">: −5.9% </w:t>
            </w:r>
          </w:p>
          <w:p w14:paraId="3FE11FB5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Ni92</w:t>
            </w:r>
            <w:r w:rsidRPr="00AD213E">
              <w:rPr>
                <w:rFonts w:ascii="Times New Roman" w:hAnsi="Times New Roman"/>
                <w:szCs w:val="21"/>
              </w:rPr>
              <w:t>: −5.9%</w:t>
            </w:r>
          </w:p>
          <w:p w14:paraId="3A8A3BB2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Li metal: −100%</w:t>
            </w:r>
          </w:p>
        </w:tc>
      </w:tr>
      <w:tr w:rsidR="00772736" w:rsidRPr="00AD213E" w14:paraId="6F3DF2DF" w14:textId="77777777" w:rsidTr="00AD213E">
        <w:trPr>
          <w:trHeight w:val="20"/>
          <w:jc w:val="center"/>
        </w:trPr>
        <w:tc>
          <w:tcPr>
            <w:tcW w:w="1999" w:type="pct"/>
            <w:tcBorders>
              <w:left w:val="single" w:sz="8" w:space="0" w:color="FFFFFF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56187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Electrode porosity</w:t>
            </w:r>
          </w:p>
        </w:tc>
        <w:tc>
          <w:tcPr>
            <w:tcW w:w="3001" w:type="pct"/>
            <w:tcBorders>
              <w:top w:val="dashSmallGap" w:sz="6" w:space="0" w:color="auto"/>
              <w:left w:val="nil"/>
              <w:bottom w:val="dashSmallGap" w:sz="6" w:space="0" w:color="000000"/>
            </w:tcBorders>
            <w:vAlign w:val="center"/>
          </w:tcPr>
          <w:p w14:paraId="63EB6822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LFP</w:t>
            </w:r>
            <w:r w:rsidRPr="00AD213E">
              <w:rPr>
                <w:rFonts w:ascii="Times New Roman" w:hAnsi="Times New Roman"/>
                <w:szCs w:val="21"/>
              </w:rPr>
              <w:t xml:space="preserve"> cathode: 30% </w:t>
            </w:r>
          </w:p>
          <w:p w14:paraId="5906D65D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NCM811</w:t>
            </w:r>
            <w:r w:rsidRPr="00AD213E">
              <w:rPr>
                <w:rFonts w:ascii="Times New Roman" w:hAnsi="Times New Roman"/>
                <w:szCs w:val="21"/>
              </w:rPr>
              <w:t xml:space="preserve"> cathode: 30% </w:t>
            </w:r>
          </w:p>
          <w:p w14:paraId="765A8AD8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 w:hint="eastAsia"/>
                <w:szCs w:val="21"/>
              </w:rPr>
              <w:t>Ni92</w:t>
            </w:r>
            <w:r w:rsidRPr="00AD213E">
              <w:rPr>
                <w:rFonts w:ascii="Times New Roman" w:hAnsi="Times New Roman"/>
                <w:szCs w:val="21"/>
              </w:rPr>
              <w:t xml:space="preserve"> cathode:</w:t>
            </w:r>
            <w:r w:rsidRPr="00AD213E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AD213E">
              <w:rPr>
                <w:rFonts w:ascii="Times New Roman" w:hAnsi="Times New Roman"/>
                <w:szCs w:val="21"/>
              </w:rPr>
              <w:t>30%</w:t>
            </w:r>
          </w:p>
          <w:p w14:paraId="0A8D713D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Li metal: 0%</w:t>
            </w:r>
          </w:p>
        </w:tc>
      </w:tr>
      <w:tr w:rsidR="00772736" w:rsidRPr="00AD213E" w14:paraId="72196507" w14:textId="77777777" w:rsidTr="00AD213E">
        <w:trPr>
          <w:trHeight w:val="20"/>
          <w:jc w:val="center"/>
        </w:trPr>
        <w:tc>
          <w:tcPr>
            <w:tcW w:w="1999" w:type="pct"/>
            <w:tcBorders>
              <w:top w:val="dashSmallGap" w:sz="6" w:space="0" w:color="000000"/>
              <w:left w:val="single" w:sz="8" w:space="0" w:color="FFFFFF"/>
              <w:bottom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B3A51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AD213E">
              <w:rPr>
                <w:rFonts w:ascii="Times New Roman" w:hAnsi="Times New Roman"/>
                <w:szCs w:val="21"/>
              </w:rPr>
              <w:t>Current collectors</w:t>
            </w:r>
          </w:p>
        </w:tc>
        <w:tc>
          <w:tcPr>
            <w:tcW w:w="3001" w:type="pct"/>
            <w:tcBorders>
              <w:top w:val="dashSmallGap" w:sz="6" w:space="0" w:color="000000"/>
              <w:left w:val="nil"/>
              <w:bottom w:val="single" w:sz="12" w:space="0" w:color="000000"/>
            </w:tcBorders>
            <w:vAlign w:val="center"/>
          </w:tcPr>
          <w:p w14:paraId="7C18FF14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 w:rsidRPr="00AD213E">
              <w:rPr>
                <w:rFonts w:ascii="Times New Roman" w:hAnsi="Times New Roman"/>
                <w:szCs w:val="21"/>
              </w:rPr>
              <w:t xml:space="preserve">Al foil: </w:t>
            </w:r>
            <w:r w:rsidRPr="00AD213E">
              <w:rPr>
                <w:rFonts w:ascii="Times New Roman" w:hAnsi="Times New Roman" w:hint="eastAsia"/>
                <w:szCs w:val="21"/>
              </w:rPr>
              <w:t>10</w:t>
            </w:r>
            <w:r w:rsidRPr="00AD213E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 w:rsidRPr="00AD213E">
              <w:rPr>
                <w:rFonts w:ascii="Times New Roman" w:hAnsi="Times New Roman"/>
                <w:szCs w:val="21"/>
              </w:rPr>
              <w:t>μm</w:t>
            </w:r>
            <w:proofErr w:type="spellEnd"/>
            <w:r w:rsidRPr="00AD213E">
              <w:rPr>
                <w:rFonts w:ascii="Times New Roman" w:hAnsi="Times New Roman"/>
                <w:szCs w:val="21"/>
              </w:rPr>
              <w:t>, 2.</w:t>
            </w:r>
            <w:r w:rsidRPr="00AD213E">
              <w:rPr>
                <w:rFonts w:ascii="Times New Roman" w:hAnsi="Times New Roman" w:hint="eastAsia"/>
                <w:szCs w:val="21"/>
              </w:rPr>
              <w:t>70</w:t>
            </w:r>
            <w:r w:rsidRPr="00AD213E">
              <w:rPr>
                <w:rFonts w:ascii="Times New Roman" w:hAnsi="Times New Roman"/>
                <w:szCs w:val="21"/>
              </w:rPr>
              <w:t xml:space="preserve"> mg cm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2</w:t>
            </w:r>
          </w:p>
          <w:p w14:paraId="65FE914F" w14:textId="77777777" w:rsidR="00772736" w:rsidRPr="00AD213E" w:rsidRDefault="00D641D1" w:rsidP="00AD21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 w:rsidRPr="00AD213E">
              <w:rPr>
                <w:rFonts w:ascii="Times New Roman" w:hAnsi="Times New Roman"/>
                <w:szCs w:val="21"/>
              </w:rPr>
              <w:t xml:space="preserve">Cu foil: 5 </w:t>
            </w:r>
            <w:proofErr w:type="spellStart"/>
            <w:r w:rsidRPr="00AD213E">
              <w:rPr>
                <w:rFonts w:ascii="Times New Roman" w:hAnsi="Times New Roman"/>
                <w:szCs w:val="21"/>
              </w:rPr>
              <w:t>μm</w:t>
            </w:r>
            <w:proofErr w:type="spellEnd"/>
            <w:r w:rsidRPr="00AD213E">
              <w:rPr>
                <w:rFonts w:ascii="Times New Roman" w:hAnsi="Times New Roman"/>
                <w:szCs w:val="21"/>
              </w:rPr>
              <w:t>, 4.48 mg cm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/>
                <w:szCs w:val="21"/>
                <w:vertAlign w:val="superscript"/>
              </w:rPr>
              <w:t>2</w:t>
            </w:r>
          </w:p>
        </w:tc>
      </w:tr>
    </w:tbl>
    <w:p w14:paraId="45FEBA0C" w14:textId="77777777" w:rsidR="00AD213E" w:rsidRDefault="00AD213E" w:rsidP="00AD213E">
      <w:pPr>
        <w:autoSpaceDE w:val="0"/>
        <w:autoSpaceDN w:val="0"/>
        <w:adjustRightInd w:val="0"/>
        <w:snapToGrid w:val="0"/>
        <w:spacing w:before="120" w:afterLines="50" w:after="156"/>
        <w:rPr>
          <w:rFonts w:ascii="Times New Roman" w:hAnsi="Times New Roman"/>
          <w:b/>
          <w:bCs/>
          <w:sz w:val="24"/>
          <w:szCs w:val="24"/>
        </w:rPr>
      </w:pPr>
    </w:p>
    <w:p w14:paraId="5345BBDF" w14:textId="26E1F848" w:rsidR="00772736" w:rsidRDefault="00D641D1" w:rsidP="00AD213E">
      <w:pPr>
        <w:autoSpaceDE w:val="0"/>
        <w:autoSpaceDN w:val="0"/>
        <w:adjustRightInd w:val="0"/>
        <w:snapToGrid w:val="0"/>
        <w:spacing w:before="120" w:afterLines="50" w:after="1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Summary of thin Li foils fabricated using different strategies reported recently in comparison to this work</w:t>
      </w:r>
    </w:p>
    <w:tbl>
      <w:tblPr>
        <w:tblW w:w="444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162"/>
        <w:gridCol w:w="1721"/>
        <w:gridCol w:w="1831"/>
        <w:gridCol w:w="1290"/>
        <w:gridCol w:w="54"/>
        <w:gridCol w:w="1141"/>
      </w:tblGrid>
      <w:tr w:rsidR="00772736" w:rsidRPr="00AD213E" w14:paraId="4BCE81D9" w14:textId="77777777" w:rsidTr="00AD213E">
        <w:trPr>
          <w:trHeight w:val="340"/>
          <w:jc w:val="center"/>
        </w:trPr>
        <w:tc>
          <w:tcPr>
            <w:tcW w:w="899" w:type="pct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vAlign w:val="center"/>
          </w:tcPr>
          <w:p w14:paraId="35453D71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Thickness of Li anode (</w:t>
            </w:r>
            <w:proofErr w:type="spellStart"/>
            <w:r w:rsidRPr="00AD213E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  <w:r w:rsidRPr="00AD213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68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2F350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Cathode loading (</w:t>
            </w:r>
            <w:proofErr w:type="spellStart"/>
            <w:r w:rsidRPr="00AD213E">
              <w:rPr>
                <w:rFonts w:ascii="Times New Roman" w:hAnsi="Times New Roman" w:cs="Times New Roman"/>
                <w:szCs w:val="21"/>
              </w:rPr>
              <w:t>mAh</w:t>
            </w:r>
            <w:proofErr w:type="spellEnd"/>
            <w:r w:rsidRPr="00AD213E">
              <w:rPr>
                <w:rFonts w:ascii="Times New Roman" w:hAnsi="Times New Roman" w:cs="Times New Roman"/>
                <w:szCs w:val="21"/>
              </w:rPr>
              <w:t xml:space="preserve"> cm</w:t>
            </w:r>
            <w:r w:rsidRPr="00AD213E">
              <w:rPr>
                <w:rFonts w:ascii="Times New Roman" w:hAnsi="Times New Roman" w:cs="Times New Roman"/>
                <w:bCs/>
                <w:szCs w:val="21"/>
                <w:vertAlign w:val="superscript"/>
              </w:rPr>
              <w:t>−</w:t>
            </w:r>
            <w:r w:rsidRPr="00AD213E">
              <w:rPr>
                <w:rFonts w:ascii="Times New Roman" w:hAnsi="Times New Roman" w:cs="Times New Roman"/>
                <w:bCs/>
                <w:szCs w:val="21"/>
                <w:vertAlign w:val="superscript"/>
              </w:rPr>
              <w:t>2</w:t>
            </w:r>
            <w:r w:rsidRPr="00AD213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44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vAlign w:val="center"/>
          </w:tcPr>
          <w:p w14:paraId="554D270B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Cycling number</w:t>
            </w:r>
          </w:p>
        </w:tc>
        <w:tc>
          <w:tcPr>
            <w:tcW w:w="913" w:type="pct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vAlign w:val="center"/>
          </w:tcPr>
          <w:p w14:paraId="0BDFA8D1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Publish year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vAlign w:val="center"/>
          </w:tcPr>
          <w:p w14:paraId="1E5C08E9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Ref.</w:t>
            </w:r>
          </w:p>
        </w:tc>
      </w:tr>
      <w:tr w:rsidR="00772736" w:rsidRPr="00AD213E" w14:paraId="48BCD23B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single" w:sz="12" w:space="0" w:color="auto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84C4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25</w:t>
            </w:r>
          </w:p>
        </w:tc>
        <w:tc>
          <w:tcPr>
            <w:tcW w:w="1279" w:type="pct"/>
            <w:gridSpan w:val="2"/>
            <w:tcBorders>
              <w:top w:val="single" w:sz="12" w:space="0" w:color="auto"/>
              <w:left w:val="nil"/>
              <w:bottom w:val="dashSmallGap" w:sz="6" w:space="0" w:color="000000"/>
            </w:tcBorders>
            <w:vAlign w:val="center"/>
          </w:tcPr>
          <w:p w14:paraId="72742A71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2.5</w:t>
            </w:r>
          </w:p>
        </w:tc>
        <w:tc>
          <w:tcPr>
            <w:tcW w:w="1244" w:type="pct"/>
            <w:tcBorders>
              <w:top w:val="single" w:sz="12" w:space="0" w:color="auto"/>
              <w:bottom w:val="dashSmallGap" w:sz="6" w:space="0" w:color="000000"/>
            </w:tcBorders>
            <w:vAlign w:val="center"/>
          </w:tcPr>
          <w:p w14:paraId="6D8D36A5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250</w:t>
            </w:r>
          </w:p>
        </w:tc>
        <w:tc>
          <w:tcPr>
            <w:tcW w:w="876" w:type="pct"/>
            <w:tcBorders>
              <w:top w:val="single" w:sz="12" w:space="0" w:color="auto"/>
              <w:bottom w:val="dashSmallGap" w:sz="6" w:space="0" w:color="000000"/>
            </w:tcBorders>
            <w:vAlign w:val="center"/>
          </w:tcPr>
          <w:p w14:paraId="5D76530C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2023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dashSmallGap" w:sz="6" w:space="0" w:color="000000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CDDFC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772736" w:rsidRPr="00AD213E" w14:paraId="02170E5E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9F86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25</w:t>
            </w:r>
          </w:p>
        </w:tc>
        <w:tc>
          <w:tcPr>
            <w:tcW w:w="1279" w:type="pct"/>
            <w:gridSpan w:val="2"/>
            <w:tcBorders>
              <w:top w:val="dashSmallGap" w:sz="6" w:space="0" w:color="auto"/>
              <w:left w:val="nil"/>
              <w:bottom w:val="dashSmallGap" w:sz="6" w:space="0" w:color="000000"/>
            </w:tcBorders>
            <w:vAlign w:val="center"/>
          </w:tcPr>
          <w:p w14:paraId="5B1C4304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1.8</w:t>
            </w:r>
          </w:p>
        </w:tc>
        <w:tc>
          <w:tcPr>
            <w:tcW w:w="1244" w:type="pct"/>
            <w:tcBorders>
              <w:top w:val="dashSmallGap" w:sz="6" w:space="0" w:color="auto"/>
              <w:bottom w:val="dashSmallGap" w:sz="6" w:space="0" w:color="000000"/>
            </w:tcBorders>
            <w:vAlign w:val="center"/>
          </w:tcPr>
          <w:p w14:paraId="6643CCFD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130</w:t>
            </w:r>
          </w:p>
        </w:tc>
        <w:tc>
          <w:tcPr>
            <w:tcW w:w="876" w:type="pct"/>
            <w:tcBorders>
              <w:bottom w:val="dashSmallGap" w:sz="6" w:space="0" w:color="000000"/>
            </w:tcBorders>
            <w:vAlign w:val="center"/>
          </w:tcPr>
          <w:p w14:paraId="521BEC43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2024</w:t>
            </w:r>
          </w:p>
        </w:tc>
        <w:tc>
          <w:tcPr>
            <w:tcW w:w="812" w:type="pct"/>
            <w:gridSpan w:val="2"/>
            <w:tcBorders>
              <w:left w:val="nil"/>
              <w:bottom w:val="dashSmallGap" w:sz="6" w:space="0" w:color="000000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3A4D4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772736" w:rsidRPr="00AD213E" w14:paraId="793A92A8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EEC36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</w:t>
            </w:r>
          </w:p>
        </w:tc>
        <w:tc>
          <w:tcPr>
            <w:tcW w:w="1279" w:type="pct"/>
            <w:gridSpan w:val="2"/>
            <w:tcBorders>
              <w:top w:val="dashSmallGap" w:sz="6" w:space="0" w:color="auto"/>
              <w:left w:val="nil"/>
              <w:bottom w:val="dashSmallGap" w:sz="6" w:space="0" w:color="000000"/>
            </w:tcBorders>
            <w:vAlign w:val="center"/>
          </w:tcPr>
          <w:p w14:paraId="0B08B913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2.5</w:t>
            </w:r>
          </w:p>
        </w:tc>
        <w:tc>
          <w:tcPr>
            <w:tcW w:w="1244" w:type="pct"/>
            <w:tcBorders>
              <w:top w:val="dashSmallGap" w:sz="6" w:space="0" w:color="auto"/>
              <w:bottom w:val="dashSmallGap" w:sz="6" w:space="0" w:color="000000"/>
            </w:tcBorders>
            <w:vAlign w:val="center"/>
          </w:tcPr>
          <w:p w14:paraId="68B0D622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120</w:t>
            </w:r>
          </w:p>
        </w:tc>
        <w:tc>
          <w:tcPr>
            <w:tcW w:w="876" w:type="pct"/>
            <w:tcBorders>
              <w:top w:val="dashSmallGap" w:sz="6" w:space="0" w:color="auto"/>
              <w:bottom w:val="dashSmallGap" w:sz="6" w:space="0" w:color="000000"/>
            </w:tcBorders>
            <w:vAlign w:val="center"/>
          </w:tcPr>
          <w:p w14:paraId="6313B416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2025</w:t>
            </w:r>
          </w:p>
        </w:tc>
        <w:tc>
          <w:tcPr>
            <w:tcW w:w="812" w:type="pct"/>
            <w:gridSpan w:val="2"/>
            <w:tcBorders>
              <w:top w:val="dashSmallGap" w:sz="6" w:space="0" w:color="auto"/>
              <w:left w:val="nil"/>
              <w:bottom w:val="dashSmallGap" w:sz="6" w:space="0" w:color="000000"/>
              <w:right w:val="single" w:sz="8" w:space="0" w:color="FFFFFF"/>
            </w:tcBorders>
            <w:vAlign w:val="center"/>
          </w:tcPr>
          <w:p w14:paraId="05F092C0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3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772736" w:rsidRPr="00AD213E" w14:paraId="598D4C74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93F1A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</w:t>
            </w:r>
          </w:p>
        </w:tc>
        <w:tc>
          <w:tcPr>
            <w:tcW w:w="1279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7E969CE3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2.45</w:t>
            </w:r>
          </w:p>
        </w:tc>
        <w:tc>
          <w:tcPr>
            <w:tcW w:w="1244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730DA580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225</w:t>
            </w:r>
          </w:p>
        </w:tc>
        <w:tc>
          <w:tcPr>
            <w:tcW w:w="876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6D931536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2023</w:t>
            </w:r>
          </w:p>
        </w:tc>
        <w:tc>
          <w:tcPr>
            <w:tcW w:w="812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  <w:right w:val="single" w:sz="8" w:space="0" w:color="FFFFFF"/>
            </w:tcBorders>
            <w:vAlign w:val="center"/>
          </w:tcPr>
          <w:p w14:paraId="3EA1A03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4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772736" w:rsidRPr="00AD213E" w14:paraId="3F3C5602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AE77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bookmarkStart w:id="12" w:name="_Hlk207967702"/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</w:t>
            </w:r>
          </w:p>
        </w:tc>
        <w:tc>
          <w:tcPr>
            <w:tcW w:w="1279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494F8F16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1.6</w:t>
            </w:r>
          </w:p>
        </w:tc>
        <w:tc>
          <w:tcPr>
            <w:tcW w:w="1244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0C310F52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200</w:t>
            </w:r>
          </w:p>
        </w:tc>
        <w:tc>
          <w:tcPr>
            <w:tcW w:w="876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51256579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2022</w:t>
            </w:r>
          </w:p>
        </w:tc>
        <w:tc>
          <w:tcPr>
            <w:tcW w:w="812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  <w:right w:val="single" w:sz="8" w:space="0" w:color="FFFFFF"/>
            </w:tcBorders>
            <w:vAlign w:val="center"/>
          </w:tcPr>
          <w:p w14:paraId="22B2C500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5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772736" w:rsidRPr="00AD213E" w14:paraId="1CB27C4E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single" w:sz="4" w:space="0" w:color="auto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C6FBC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  <w:left w:val="nil"/>
              <w:bottom w:val="dashSmallGap" w:sz="6" w:space="0" w:color="000000"/>
            </w:tcBorders>
            <w:vAlign w:val="center"/>
          </w:tcPr>
          <w:p w14:paraId="40172D14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1.5</w:t>
            </w:r>
          </w:p>
        </w:tc>
        <w:tc>
          <w:tcPr>
            <w:tcW w:w="1244" w:type="pct"/>
            <w:tcBorders>
              <w:top w:val="single" w:sz="4" w:space="0" w:color="auto"/>
              <w:bottom w:val="dashSmallGap" w:sz="6" w:space="0" w:color="000000"/>
            </w:tcBorders>
            <w:vAlign w:val="center"/>
          </w:tcPr>
          <w:p w14:paraId="5429316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450</w:t>
            </w:r>
          </w:p>
        </w:tc>
        <w:tc>
          <w:tcPr>
            <w:tcW w:w="876" w:type="pct"/>
            <w:tcBorders>
              <w:top w:val="single" w:sz="4" w:space="0" w:color="auto"/>
              <w:bottom w:val="dashSmallGap" w:sz="6" w:space="0" w:color="000000"/>
            </w:tcBorders>
            <w:vAlign w:val="center"/>
          </w:tcPr>
          <w:p w14:paraId="4B5A28A5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2025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dashSmallGap" w:sz="6" w:space="0" w:color="000000"/>
              <w:right w:val="single" w:sz="8" w:space="0" w:color="FFFFFF"/>
            </w:tcBorders>
            <w:vAlign w:val="center"/>
          </w:tcPr>
          <w:p w14:paraId="5CD61A0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6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772736" w:rsidRPr="00AD213E" w14:paraId="37AAA395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single" w:sz="4" w:space="0" w:color="auto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7816C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15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  <w:left w:val="nil"/>
              <w:bottom w:val="dashSmallGap" w:sz="6" w:space="0" w:color="000000"/>
            </w:tcBorders>
            <w:vAlign w:val="center"/>
          </w:tcPr>
          <w:p w14:paraId="660CD1D7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2.0</w:t>
            </w:r>
          </w:p>
        </w:tc>
        <w:tc>
          <w:tcPr>
            <w:tcW w:w="1244" w:type="pct"/>
            <w:tcBorders>
              <w:top w:val="single" w:sz="4" w:space="0" w:color="auto"/>
              <w:bottom w:val="dashSmallGap" w:sz="6" w:space="0" w:color="000000"/>
            </w:tcBorders>
            <w:vAlign w:val="center"/>
          </w:tcPr>
          <w:p w14:paraId="14DB1B7F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25</w:t>
            </w:r>
          </w:p>
        </w:tc>
        <w:tc>
          <w:tcPr>
            <w:tcW w:w="876" w:type="pct"/>
            <w:tcBorders>
              <w:top w:val="single" w:sz="4" w:space="0" w:color="auto"/>
              <w:bottom w:val="dashSmallGap" w:sz="6" w:space="0" w:color="000000"/>
            </w:tcBorders>
            <w:vAlign w:val="center"/>
          </w:tcPr>
          <w:p w14:paraId="34BA8A50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2023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dashSmallGap" w:sz="6" w:space="0" w:color="000000"/>
              <w:right w:val="single" w:sz="8" w:space="0" w:color="FFFFFF"/>
            </w:tcBorders>
            <w:vAlign w:val="center"/>
          </w:tcPr>
          <w:p w14:paraId="7358FB39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7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772736" w:rsidRPr="00AD213E" w14:paraId="051E7EC6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257EF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15</w:t>
            </w:r>
          </w:p>
        </w:tc>
        <w:tc>
          <w:tcPr>
            <w:tcW w:w="1279" w:type="pct"/>
            <w:gridSpan w:val="2"/>
            <w:tcBorders>
              <w:top w:val="dashSmallGap" w:sz="6" w:space="0" w:color="000000"/>
              <w:left w:val="nil"/>
              <w:bottom w:val="dashSmallGap" w:sz="4" w:space="0" w:color="auto"/>
            </w:tcBorders>
            <w:vAlign w:val="center"/>
          </w:tcPr>
          <w:p w14:paraId="7A042644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1.5</w:t>
            </w:r>
          </w:p>
        </w:tc>
        <w:tc>
          <w:tcPr>
            <w:tcW w:w="1244" w:type="pct"/>
            <w:tcBorders>
              <w:top w:val="dashSmallGap" w:sz="6" w:space="0" w:color="000000"/>
              <w:bottom w:val="dashSmallGap" w:sz="4" w:space="0" w:color="auto"/>
            </w:tcBorders>
            <w:vAlign w:val="center"/>
          </w:tcPr>
          <w:p w14:paraId="0C3CF29F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105</w:t>
            </w:r>
          </w:p>
        </w:tc>
        <w:tc>
          <w:tcPr>
            <w:tcW w:w="876" w:type="pct"/>
            <w:tcBorders>
              <w:top w:val="dashSmallGap" w:sz="6" w:space="0" w:color="000000"/>
              <w:bottom w:val="dashSmallGap" w:sz="4" w:space="0" w:color="auto"/>
            </w:tcBorders>
            <w:vAlign w:val="center"/>
          </w:tcPr>
          <w:p w14:paraId="1934713D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2023</w:t>
            </w:r>
          </w:p>
        </w:tc>
        <w:tc>
          <w:tcPr>
            <w:tcW w:w="812" w:type="pct"/>
            <w:gridSpan w:val="2"/>
            <w:tcBorders>
              <w:top w:val="dashSmallGap" w:sz="6" w:space="0" w:color="000000"/>
              <w:left w:val="nil"/>
              <w:bottom w:val="dashSmallGap" w:sz="4" w:space="0" w:color="auto"/>
              <w:right w:val="single" w:sz="8" w:space="0" w:color="FFFFFF"/>
            </w:tcBorders>
            <w:vAlign w:val="center"/>
          </w:tcPr>
          <w:p w14:paraId="0BE902D6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8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tr w:rsidR="00772736" w:rsidRPr="00AD213E" w14:paraId="4C12C3FD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4" w:space="0" w:color="auto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219CA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15</w:t>
            </w:r>
          </w:p>
        </w:tc>
        <w:tc>
          <w:tcPr>
            <w:tcW w:w="1279" w:type="pct"/>
            <w:gridSpan w:val="2"/>
            <w:tcBorders>
              <w:top w:val="dashSmallGap" w:sz="4" w:space="0" w:color="auto"/>
              <w:left w:val="nil"/>
              <w:bottom w:val="dashSmallGap" w:sz="6" w:space="0" w:color="000000"/>
            </w:tcBorders>
            <w:vAlign w:val="center"/>
          </w:tcPr>
          <w:p w14:paraId="4BD44C80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1.5</w:t>
            </w:r>
          </w:p>
        </w:tc>
        <w:tc>
          <w:tcPr>
            <w:tcW w:w="1244" w:type="pct"/>
            <w:tcBorders>
              <w:top w:val="dashSmallGap" w:sz="4" w:space="0" w:color="auto"/>
              <w:bottom w:val="dashSmallGap" w:sz="6" w:space="0" w:color="000000"/>
            </w:tcBorders>
            <w:vAlign w:val="center"/>
          </w:tcPr>
          <w:p w14:paraId="2A87968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330</w:t>
            </w:r>
          </w:p>
        </w:tc>
        <w:tc>
          <w:tcPr>
            <w:tcW w:w="876" w:type="pct"/>
            <w:tcBorders>
              <w:top w:val="dashSmallGap" w:sz="4" w:space="0" w:color="auto"/>
              <w:bottom w:val="dashSmallGap" w:sz="6" w:space="0" w:color="000000"/>
            </w:tcBorders>
            <w:vAlign w:val="center"/>
          </w:tcPr>
          <w:p w14:paraId="2EA78713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2023</w:t>
            </w:r>
          </w:p>
        </w:tc>
        <w:tc>
          <w:tcPr>
            <w:tcW w:w="812" w:type="pct"/>
            <w:gridSpan w:val="2"/>
            <w:tcBorders>
              <w:top w:val="dashSmallGap" w:sz="4" w:space="0" w:color="auto"/>
              <w:left w:val="nil"/>
              <w:bottom w:val="dashSmallGap" w:sz="6" w:space="0" w:color="000000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5B44C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</w:rPr>
              <w:t>[S</w:t>
            </w: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9</w:t>
            </w:r>
            <w:r w:rsidRPr="00AD213E">
              <w:rPr>
                <w:rFonts w:ascii="Times New Roman" w:hAnsi="Times New Roman" w:cs="Times New Roman"/>
                <w:szCs w:val="21"/>
              </w:rPr>
              <w:t>]</w:t>
            </w:r>
          </w:p>
        </w:tc>
      </w:tr>
      <w:bookmarkEnd w:id="12"/>
      <w:tr w:rsidR="00772736" w:rsidRPr="00AD213E" w14:paraId="65EF43AE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5AED5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28</w:t>
            </w:r>
          </w:p>
        </w:tc>
        <w:tc>
          <w:tcPr>
            <w:tcW w:w="1279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1A40E6C4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4.6</w:t>
            </w:r>
          </w:p>
        </w:tc>
        <w:tc>
          <w:tcPr>
            <w:tcW w:w="1244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46E1A852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120</w:t>
            </w:r>
          </w:p>
        </w:tc>
        <w:tc>
          <w:tcPr>
            <w:tcW w:w="876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5A0337B1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</w:p>
        </w:tc>
        <w:tc>
          <w:tcPr>
            <w:tcW w:w="812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C5C57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This work</w:t>
            </w:r>
          </w:p>
        </w:tc>
      </w:tr>
      <w:tr w:rsidR="00772736" w:rsidRPr="00AD213E" w14:paraId="2184FC05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44E64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</w:t>
            </w:r>
          </w:p>
        </w:tc>
        <w:tc>
          <w:tcPr>
            <w:tcW w:w="1279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6B40268C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4.6</w:t>
            </w:r>
          </w:p>
        </w:tc>
        <w:tc>
          <w:tcPr>
            <w:tcW w:w="1244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1713A8FF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60</w:t>
            </w:r>
          </w:p>
        </w:tc>
        <w:tc>
          <w:tcPr>
            <w:tcW w:w="876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6846F3E9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</w:p>
        </w:tc>
        <w:tc>
          <w:tcPr>
            <w:tcW w:w="812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8111B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This work</w:t>
            </w:r>
          </w:p>
        </w:tc>
      </w:tr>
      <w:tr w:rsidR="00772736" w:rsidRPr="00AD213E" w14:paraId="3348DFBE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52309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20</w:t>
            </w:r>
          </w:p>
        </w:tc>
        <w:tc>
          <w:tcPr>
            <w:tcW w:w="1279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76DDD43A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3.3</w:t>
            </w:r>
          </w:p>
        </w:tc>
        <w:tc>
          <w:tcPr>
            <w:tcW w:w="1244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3723AB9C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120</w:t>
            </w:r>
          </w:p>
        </w:tc>
        <w:tc>
          <w:tcPr>
            <w:tcW w:w="876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6E7B40EF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</w:p>
        </w:tc>
        <w:tc>
          <w:tcPr>
            <w:tcW w:w="812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6F2AF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This work</w:t>
            </w:r>
          </w:p>
        </w:tc>
      </w:tr>
      <w:tr w:rsidR="00772736" w:rsidRPr="00AD213E" w14:paraId="37D2AA95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dashSmallGap" w:sz="6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C5065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10</w:t>
            </w:r>
          </w:p>
        </w:tc>
        <w:tc>
          <w:tcPr>
            <w:tcW w:w="1279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</w:tcBorders>
            <w:vAlign w:val="center"/>
          </w:tcPr>
          <w:p w14:paraId="0C64FA67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3.4</w:t>
            </w:r>
          </w:p>
        </w:tc>
        <w:tc>
          <w:tcPr>
            <w:tcW w:w="1244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18E6EE61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90</w:t>
            </w:r>
          </w:p>
        </w:tc>
        <w:tc>
          <w:tcPr>
            <w:tcW w:w="876" w:type="pct"/>
            <w:tcBorders>
              <w:top w:val="dashSmallGap" w:sz="6" w:space="0" w:color="000000"/>
              <w:bottom w:val="dashSmallGap" w:sz="6" w:space="0" w:color="000000"/>
            </w:tcBorders>
            <w:vAlign w:val="center"/>
          </w:tcPr>
          <w:p w14:paraId="6E53B21D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</w:p>
        </w:tc>
        <w:tc>
          <w:tcPr>
            <w:tcW w:w="812" w:type="pct"/>
            <w:gridSpan w:val="2"/>
            <w:tcBorders>
              <w:top w:val="dashSmallGap" w:sz="6" w:space="0" w:color="000000"/>
              <w:left w:val="nil"/>
              <w:bottom w:val="dashSmallGap" w:sz="6" w:space="0" w:color="000000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4E931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This work</w:t>
            </w:r>
          </w:p>
        </w:tc>
      </w:tr>
      <w:tr w:rsidR="00772736" w:rsidRPr="00AD213E" w14:paraId="6D59E370" w14:textId="77777777" w:rsidTr="00AD213E">
        <w:trPr>
          <w:trHeight w:val="340"/>
          <w:jc w:val="center"/>
        </w:trPr>
        <w:tc>
          <w:tcPr>
            <w:tcW w:w="789" w:type="pct"/>
            <w:tcBorders>
              <w:top w:val="dashSmallGap" w:sz="6" w:space="0" w:color="000000"/>
              <w:left w:val="nil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6EF4C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10</w:t>
            </w:r>
          </w:p>
        </w:tc>
        <w:tc>
          <w:tcPr>
            <w:tcW w:w="1279" w:type="pct"/>
            <w:gridSpan w:val="2"/>
            <w:tcBorders>
              <w:top w:val="dashSmallGap" w:sz="6" w:space="0" w:color="000000"/>
              <w:left w:val="nil"/>
              <w:bottom w:val="single" w:sz="12" w:space="0" w:color="auto"/>
            </w:tcBorders>
            <w:vAlign w:val="center"/>
          </w:tcPr>
          <w:p w14:paraId="6176EFE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2.0</w:t>
            </w:r>
          </w:p>
        </w:tc>
        <w:tc>
          <w:tcPr>
            <w:tcW w:w="1244" w:type="pct"/>
            <w:tcBorders>
              <w:top w:val="dashSmallGap" w:sz="6" w:space="0" w:color="000000"/>
              <w:bottom w:val="single" w:sz="12" w:space="0" w:color="auto"/>
            </w:tcBorders>
            <w:vAlign w:val="center"/>
          </w:tcPr>
          <w:p w14:paraId="2ADF5594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260</w:t>
            </w:r>
          </w:p>
        </w:tc>
        <w:tc>
          <w:tcPr>
            <w:tcW w:w="876" w:type="pct"/>
            <w:tcBorders>
              <w:top w:val="dashSmallGap" w:sz="6" w:space="0" w:color="000000"/>
              <w:bottom w:val="single" w:sz="12" w:space="0" w:color="auto"/>
            </w:tcBorders>
            <w:vAlign w:val="center"/>
          </w:tcPr>
          <w:p w14:paraId="54E2D99E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szCs w:val="21"/>
                <w:lang w:val="en-GB"/>
              </w:rPr>
              <w:t>-</w:t>
            </w:r>
          </w:p>
        </w:tc>
        <w:tc>
          <w:tcPr>
            <w:tcW w:w="812" w:type="pct"/>
            <w:gridSpan w:val="2"/>
            <w:tcBorders>
              <w:top w:val="dashSmallGap" w:sz="6" w:space="0" w:color="000000"/>
              <w:left w:val="nil"/>
              <w:bottom w:val="single" w:sz="12" w:space="0" w:color="auto"/>
              <w:right w:val="single" w:sz="8" w:space="0" w:color="FFFFF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36DD9" w14:textId="77777777" w:rsidR="00772736" w:rsidRPr="00AD213E" w:rsidRDefault="00D641D1" w:rsidP="00AD2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AD213E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This work</w:t>
            </w:r>
          </w:p>
        </w:tc>
      </w:tr>
    </w:tbl>
    <w:p w14:paraId="2C773613" w14:textId="77777777" w:rsidR="00772736" w:rsidRDefault="00772736" w:rsidP="00AD213E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25070" w14:textId="77777777" w:rsidR="00772736" w:rsidRDefault="00D641D1" w:rsidP="00AD213E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bookmarkStart w:id="13" w:name="OLE_LINK2"/>
      <w:r>
        <w:rPr>
          <w:rFonts w:ascii="Times New Roman" w:hAnsi="Times New Roman" w:cs="Times New Roman"/>
          <w:b/>
          <w:bCs/>
          <w:sz w:val="28"/>
          <w:szCs w:val="28"/>
          <w:lang w:val="de-DE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de-DE"/>
        </w:rPr>
        <w:t>References</w:t>
      </w:r>
    </w:p>
    <w:p w14:paraId="7AB4DB36" w14:textId="4A445C78" w:rsidR="00772736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hAnsi="Times New Roman" w:cs="Times New Roman"/>
          <w:sz w:val="24"/>
          <w:szCs w:val="24"/>
        </w:rPr>
      </w:pPr>
      <w:bookmarkStart w:id="14" w:name="_Hlk233121804"/>
      <w:r>
        <w:rPr>
          <w:rFonts w:ascii="Times New Roman" w:hAnsi="Times New Roman" w:cs="Times New Roman"/>
          <w:sz w:val="24"/>
          <w:szCs w:val="24"/>
        </w:rPr>
        <w:t>Y. Hu, H. Li, Z. Chen, W. Cen, Q. Wang</w:t>
      </w:r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 xml:space="preserve">Li-alloy texture creates in-built </w:t>
      </w:r>
      <w:proofErr w:type="gramStart"/>
      <w:r>
        <w:rPr>
          <w:rFonts w:ascii="Times New Roman" w:hAnsi="Times New Roman" w:cs="Times New Roman"/>
          <w:sz w:val="24"/>
          <w:szCs w:val="24"/>
        </w:rPr>
        <w:t>Li(</w:t>
      </w:r>
      <w:proofErr w:type="gramEnd"/>
      <w:r>
        <w:rPr>
          <w:rFonts w:ascii="Times New Roman" w:hAnsi="Times New Roman" w:cs="Times New Roman"/>
          <w:sz w:val="24"/>
          <w:szCs w:val="24"/>
        </w:rPr>
        <w:t>110) epitaxy in a thin Li-metal anode allowing high depth-of-discharge cycling in carbonate electrolyte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Chem. Eng. J. </w:t>
      </w:r>
      <w:r>
        <w:rPr>
          <w:rStyle w:val="ab"/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>, 1430</w:t>
      </w:r>
      <w:r>
        <w:rPr>
          <w:rFonts w:ascii="Times New Roman" w:hAnsi="Times New Roman" w:cs="Times New Roman"/>
          <w:sz w:val="24"/>
          <w:szCs w:val="24"/>
        </w:rPr>
        <w:t>84 (2023). </w:t>
      </w:r>
      <w:hyperlink r:id="rId24" w:history="1">
        <w:r w:rsidR="00772736">
          <w:rPr>
            <w:rStyle w:val="ad"/>
            <w:rFonts w:ascii="Times New Roman" w:hAnsi="Times New Roman" w:cs="Times New Roman"/>
            <w:color w:val="155EEF"/>
            <w:sz w:val="24"/>
            <w:szCs w:val="24"/>
          </w:rPr>
          <w:t>https://doi.org/10.1016/j.cej.2023.143084</w:t>
        </w:r>
      </w:hyperlink>
    </w:p>
    <w:p w14:paraId="074A90A5" w14:textId="24FDC252" w:rsidR="00772736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Cao, Y. Shi, A. Gao, G. Du,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Dilxat</w:t>
      </w:r>
      <w:proofErr w:type="spellEnd"/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 xml:space="preserve">Hierarchical Li electrochemistry using alloy-type anode for </w:t>
      </w:r>
      <w:r>
        <w:rPr>
          <w:rFonts w:ascii="Times New Roman" w:hAnsi="Times New Roman" w:cs="Times New Roman"/>
          <w:sz w:val="24"/>
          <w:szCs w:val="24"/>
        </w:rPr>
        <w:t>high-energy-density Li metal batteries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Nat.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Commun</w:t>
      </w:r>
      <w:proofErr w:type="spellEnd"/>
      <w:r>
        <w:rPr>
          <w:rFonts w:ascii="Times New Roman" w:hAnsi="Times New Roman" w:cs="Times New Roman"/>
          <w:sz w:val="24"/>
          <w:szCs w:val="24"/>
        </w:rPr>
        <w:t>. </w:t>
      </w:r>
      <w:r>
        <w:rPr>
          <w:rStyle w:val="ab"/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, 1354 (2024). </w:t>
      </w:r>
      <w:hyperlink r:id="rId25" w:history="1">
        <w:r w:rsidR="00772736">
          <w:rPr>
            <w:rStyle w:val="ad"/>
            <w:rFonts w:ascii="Times New Roman" w:hAnsi="Times New Roman" w:cs="Times New Roman"/>
            <w:color w:val="155EEF"/>
            <w:sz w:val="24"/>
            <w:szCs w:val="24"/>
          </w:rPr>
          <w:t>https://doi.org/10.1038/s41467-024-45613-4</w:t>
        </w:r>
      </w:hyperlink>
    </w:p>
    <w:p w14:paraId="529BBE51" w14:textId="780E024B" w:rsidR="00772736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 Zhang, T. Zhang, Y. Liu, Q. Wang, R. He</w:t>
      </w:r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>Molecular design of asymmetric d</w:t>
      </w:r>
      <w:r>
        <w:rPr>
          <w:rFonts w:ascii="Times New Roman" w:hAnsi="Times New Roman" w:cs="Times New Roman"/>
          <w:sz w:val="24"/>
          <w:szCs w:val="24"/>
        </w:rPr>
        <w:t>ifluorinated ether electrolytes for stable operation of high-voltage lithium metal batteries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Angew</w:t>
      </w:r>
      <w:proofErr w:type="spellEnd"/>
      <w:r>
        <w:rPr>
          <w:rFonts w:ascii="Times New Roman" w:hAnsi="Times New Roman" w:cs="Times New Roman"/>
          <w:sz w:val="24"/>
          <w:szCs w:val="24"/>
        </w:rPr>
        <w:t>. Chem. Int. Ed. </w:t>
      </w:r>
      <w:r>
        <w:rPr>
          <w:rStyle w:val="ab"/>
          <w:rFonts w:ascii="Times New Roman" w:hAnsi="Times New Roman" w:cs="Times New Roman"/>
          <w:sz w:val="24"/>
          <w:szCs w:val="24"/>
        </w:rPr>
        <w:t>64</w:t>
      </w:r>
      <w:r>
        <w:rPr>
          <w:rStyle w:val="ab"/>
          <w:rFonts w:ascii="Times New Roman" w:hAnsi="Times New Roman" w:cs="Times New Roman" w:hint="eastAsia"/>
          <w:b w:val="0"/>
          <w:bCs w:val="0"/>
          <w:sz w:val="24"/>
          <w:szCs w:val="24"/>
        </w:rPr>
        <w:t>(38)</w:t>
      </w:r>
      <w:r>
        <w:rPr>
          <w:rFonts w:ascii="Times New Roman" w:hAnsi="Times New Roman" w:cs="Times New Roman"/>
          <w:sz w:val="24"/>
          <w:szCs w:val="24"/>
        </w:rPr>
        <w:t>, 506056 (2025). </w:t>
      </w:r>
      <w:hyperlink r:id="rId26" w:history="1">
        <w:r w:rsidR="00772736">
          <w:rPr>
            <w:rStyle w:val="ad"/>
            <w:rFonts w:ascii="Times New Roman" w:hAnsi="Times New Roman" w:cs="Times New Roman"/>
            <w:color w:val="155EEF"/>
            <w:sz w:val="24"/>
            <w:szCs w:val="24"/>
          </w:rPr>
          <w:t>https://doi.org/10.1002/anie.202506056</w:t>
        </w:r>
      </w:hyperlink>
    </w:p>
    <w:p w14:paraId="3BE101FE" w14:textId="7E99CD79" w:rsidR="00772736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 Xing, T. Chen, L. Yi</w:t>
      </w:r>
      <w:r>
        <w:rPr>
          <w:rFonts w:ascii="Times New Roman" w:hAnsi="Times New Roman" w:cs="Times New Roman"/>
          <w:sz w:val="24"/>
          <w:szCs w:val="24"/>
        </w:rPr>
        <w:t>, Z. Wang, Z. Song</w:t>
      </w:r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>Endowing Cu foil self-wettable in molten lithium: a roll-to-roll wet coating strategy to fabricate high-performance ultrathin lithium metal anodes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Energy Storage Mater. </w:t>
      </w:r>
      <w:r>
        <w:rPr>
          <w:rStyle w:val="ab"/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, 103067 (2023). </w:t>
      </w:r>
      <w:hyperlink r:id="rId27" w:history="1">
        <w:r w:rsidR="00772736">
          <w:rPr>
            <w:rStyle w:val="ad"/>
            <w:rFonts w:ascii="Times New Roman" w:hAnsi="Times New Roman" w:cs="Times New Roman"/>
            <w:color w:val="155EEF"/>
            <w:sz w:val="24"/>
            <w:szCs w:val="24"/>
          </w:rPr>
          <w:t>https://doi.org/10.1016/j.ensm.2023.103067</w:t>
        </w:r>
      </w:hyperlink>
    </w:p>
    <w:p w14:paraId="42163B93" w14:textId="75E2E158" w:rsidR="00772736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Y. Zhao, T. Zhou, L.P.H. </w:t>
      </w:r>
      <w:proofErr w:type="spellStart"/>
      <w:r>
        <w:rPr>
          <w:rFonts w:ascii="Times New Roman" w:hAnsi="Times New Roman" w:cs="Times New Roman"/>
          <w:sz w:val="24"/>
          <w:szCs w:val="24"/>
        </w:rPr>
        <w:t>Jeurgens</w:t>
      </w:r>
      <w:proofErr w:type="spellEnd"/>
      <w:r>
        <w:rPr>
          <w:rFonts w:ascii="Times New Roman" w:hAnsi="Times New Roman" w:cs="Times New Roman"/>
          <w:sz w:val="24"/>
          <w:szCs w:val="24"/>
        </w:rPr>
        <w:t>, X. Kong, J.W. Choi</w:t>
      </w:r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>Electrolyte engineering for highly inorganic solid electrolyte interphase in high-performance lithium metal batteries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Chem </w:t>
      </w:r>
      <w:r>
        <w:rPr>
          <w:rStyle w:val="ab"/>
          <w:rFonts w:ascii="Times New Roman" w:hAnsi="Times New Roman" w:cs="Times New Roman"/>
          <w:sz w:val="24"/>
          <w:szCs w:val="24"/>
        </w:rPr>
        <w:t>9</w:t>
      </w:r>
      <w:r>
        <w:rPr>
          <w:rStyle w:val="ab"/>
          <w:rFonts w:ascii="Times New Roman" w:hAnsi="Times New Roman" w:cs="Times New Roman" w:hint="eastAsia"/>
          <w:b w:val="0"/>
          <w:bCs w:val="0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682–697 </w:t>
      </w:r>
      <w:r w:rsidR="00AD213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2023).</w:t>
      </w:r>
      <w:r w:rsidR="00AD2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28" w:history="1">
        <w:r w:rsidR="00772736">
          <w:rPr>
            <w:rStyle w:val="ad"/>
            <w:rFonts w:ascii="Times New Roman" w:hAnsi="Times New Roman" w:cs="Times New Roman"/>
            <w:color w:val="155EEF"/>
            <w:sz w:val="24"/>
            <w:szCs w:val="24"/>
          </w:rPr>
          <w:t>https://doi.org/10.1016/j.chempr.2022.12.005</w:t>
        </w:r>
      </w:hyperlink>
    </w:p>
    <w:p w14:paraId="69F8491F" w14:textId="44E82374" w:rsidR="00772736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Deng, Y. Liu, H. Qi, Y. Yang, Z. Wang</w:t>
      </w:r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 xml:space="preserve">A nanoengineered lithium-hosting carbon/zinc oxide composite electrode material for </w:t>
      </w:r>
      <w:r>
        <w:rPr>
          <w:rFonts w:ascii="Times New Roman" w:hAnsi="Times New Roman" w:cs="Times New Roman"/>
          <w:sz w:val="24"/>
          <w:szCs w:val="24"/>
        </w:rPr>
        <w:t>efficient non-aqueous lithium metal batteries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Nat.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Nanotechnol</w:t>
      </w:r>
      <w:proofErr w:type="spellEnd"/>
      <w:r>
        <w:rPr>
          <w:rFonts w:ascii="Times New Roman" w:hAnsi="Times New Roman" w:cs="Times New Roman"/>
          <w:sz w:val="24"/>
          <w:szCs w:val="24"/>
        </w:rPr>
        <w:t>. </w:t>
      </w:r>
      <w:r>
        <w:rPr>
          <w:rStyle w:val="ab"/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 1439–1448 (2025). </w:t>
      </w:r>
      <w:hyperlink r:id="rId29" w:history="1">
        <w:r w:rsidR="00772736">
          <w:rPr>
            <w:rStyle w:val="ac"/>
            <w:rFonts w:ascii="Times New Roman" w:hAnsi="Times New Roman" w:cs="Times New Roman"/>
            <w:color w:val="155EEF"/>
            <w:sz w:val="24"/>
            <w:szCs w:val="24"/>
          </w:rPr>
          <w:t>https://doi.org/10.1038/s41565-025-01983-4</w:t>
        </w:r>
      </w:hyperlink>
    </w:p>
    <w:p w14:paraId="751A187A" w14:textId="0A66803B" w:rsidR="00772736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 Gao, C. Chen, Q. Dong, J. Dai, Y. Yao</w:t>
      </w:r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>Stamping flexible</w:t>
      </w:r>
      <w:r>
        <w:rPr>
          <w:rFonts w:ascii="Times New Roman" w:hAnsi="Times New Roman" w:cs="Times New Roman"/>
          <w:sz w:val="24"/>
          <w:szCs w:val="24"/>
        </w:rPr>
        <w:t xml:space="preserve"> Li alloy anodes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Adv. Mater. </w:t>
      </w:r>
      <w:r>
        <w:rPr>
          <w:rStyle w:val="ab"/>
          <w:rFonts w:ascii="Times New Roman" w:hAnsi="Times New Roman" w:cs="Times New Roman"/>
          <w:sz w:val="24"/>
          <w:szCs w:val="24"/>
        </w:rPr>
        <w:t>33</w:t>
      </w:r>
      <w:r>
        <w:rPr>
          <w:rStyle w:val="ab"/>
          <w:rFonts w:ascii="Times New Roman" w:hAnsi="Times New Roman" w:cs="Times New Roman" w:hint="eastAsia"/>
          <w:b w:val="0"/>
          <w:bCs w:val="0"/>
          <w:sz w:val="24"/>
          <w:szCs w:val="24"/>
        </w:rPr>
        <w:t>(11)</w:t>
      </w:r>
      <w:r>
        <w:rPr>
          <w:rFonts w:ascii="Times New Roman" w:hAnsi="Times New Roman" w:cs="Times New Roman"/>
          <w:sz w:val="24"/>
          <w:szCs w:val="24"/>
        </w:rPr>
        <w:t>, 2005305 (2021). </w:t>
      </w:r>
      <w:hyperlink r:id="rId30" w:history="1">
        <w:r w:rsidR="00772736">
          <w:rPr>
            <w:rStyle w:val="ac"/>
            <w:rFonts w:ascii="Times New Roman" w:hAnsi="Times New Roman" w:cs="Times New Roman"/>
            <w:color w:val="155EEF"/>
            <w:sz w:val="24"/>
            <w:szCs w:val="24"/>
          </w:rPr>
          <w:t>https://doi.org/10.1002/adma.202005305</w:t>
        </w:r>
      </w:hyperlink>
    </w:p>
    <w:p w14:paraId="052A07F2" w14:textId="7C1D36F1" w:rsidR="00772736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Fu, X. Wang, B. Zhang, Z. Chen, Y. Li</w:t>
      </w:r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>A Li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P nanoparticle dispersion strengthened </w:t>
      </w:r>
      <w:r>
        <w:rPr>
          <w:rFonts w:ascii="Times New Roman" w:hAnsi="Times New Roman" w:cs="Times New Roman"/>
          <w:sz w:val="24"/>
          <w:szCs w:val="24"/>
        </w:rPr>
        <w:t>ultrathin Li metal electrode for high energy density rechargeable batteries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Nano Res. </w:t>
      </w:r>
      <w:r>
        <w:rPr>
          <w:rStyle w:val="ab"/>
          <w:rFonts w:ascii="Times New Roman" w:hAnsi="Times New Roman" w:cs="Times New Roman"/>
          <w:sz w:val="24"/>
          <w:szCs w:val="24"/>
        </w:rPr>
        <w:t>17</w:t>
      </w:r>
      <w:r>
        <w:rPr>
          <w:rStyle w:val="ab"/>
          <w:rFonts w:ascii="Times New Roman" w:hAnsi="Times New Roman" w:cs="Times New Roman" w:hint="eastAsia"/>
          <w:b w:val="0"/>
          <w:bCs w:val="0"/>
          <w:sz w:val="24"/>
          <w:szCs w:val="24"/>
        </w:rPr>
        <w:t>(5)</w:t>
      </w:r>
      <w:r>
        <w:rPr>
          <w:rFonts w:ascii="Times New Roman" w:hAnsi="Times New Roman" w:cs="Times New Roman"/>
          <w:sz w:val="24"/>
          <w:szCs w:val="24"/>
        </w:rPr>
        <w:t>, 4031–4038 (2024). </w:t>
      </w:r>
      <w:hyperlink r:id="rId31" w:history="1">
        <w:r w:rsidR="00772736">
          <w:rPr>
            <w:rStyle w:val="ac"/>
            <w:rFonts w:ascii="Times New Roman" w:hAnsi="Times New Roman" w:cs="Times New Roman"/>
            <w:color w:val="155EEF"/>
            <w:sz w:val="24"/>
            <w:szCs w:val="24"/>
          </w:rPr>
          <w:t>https://doi.org/10.1007/s12274-023-6275-9</w:t>
        </w:r>
      </w:hyperlink>
    </w:p>
    <w:p w14:paraId="19E9C613" w14:textId="135655DD" w:rsidR="00772736" w:rsidRPr="0087514D" w:rsidRDefault="00D641D1" w:rsidP="00AD213E">
      <w:pPr>
        <w:widowControl/>
        <w:numPr>
          <w:ilvl w:val="0"/>
          <w:numId w:val="1"/>
        </w:numPr>
        <w:shd w:val="clear" w:color="auto" w:fill="FFFFFF"/>
        <w:spacing w:before="120" w:after="120"/>
        <w:ind w:left="419" w:hanging="561"/>
        <w:jc w:val="left"/>
        <w:textAlignment w:val="top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S. Huang, Z. Wu, B. Johannessen, K. Long, P.</w:t>
      </w:r>
      <w:r>
        <w:rPr>
          <w:rFonts w:ascii="Times New Roman" w:hAnsi="Times New Roman" w:cs="Times New Roman"/>
          <w:sz w:val="24"/>
          <w:szCs w:val="24"/>
        </w:rPr>
        <w:t xml:space="preserve"> Qing</w:t>
      </w:r>
      <w:r w:rsidR="00AD213E">
        <w:rPr>
          <w:rFonts w:ascii="Times New Roman" w:hAnsi="Times New Roman" w:cs="Times New Roman"/>
          <w:sz w:val="24"/>
          <w:szCs w:val="24"/>
        </w:rPr>
        <w:t xml:space="preserve"> et al., </w:t>
      </w:r>
      <w:r>
        <w:rPr>
          <w:rFonts w:ascii="Times New Roman" w:hAnsi="Times New Roman" w:cs="Times New Roman"/>
          <w:sz w:val="24"/>
          <w:szCs w:val="24"/>
        </w:rPr>
        <w:t>Interfacial friction enabling ≤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thin free-standing lithium strips for lithium metal batteries</w:t>
      </w:r>
      <w:r w:rsidR="00AD21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Nat.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Commun</w:t>
      </w:r>
      <w:proofErr w:type="spellEnd"/>
      <w:r>
        <w:rPr>
          <w:rFonts w:ascii="Times New Roman" w:hAnsi="Times New Roman" w:cs="Times New Roman"/>
          <w:sz w:val="24"/>
          <w:szCs w:val="24"/>
        </w:rPr>
        <w:t>. </w:t>
      </w:r>
      <w:r>
        <w:rPr>
          <w:rStyle w:val="ab"/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, 5678 (2023). </w:t>
      </w:r>
      <w:hyperlink r:id="rId32" w:history="1">
        <w:r w:rsidR="00772736">
          <w:rPr>
            <w:rStyle w:val="ad"/>
            <w:rFonts w:ascii="Times New Roman" w:hAnsi="Times New Roman" w:cs="Times New Roman"/>
            <w:color w:val="155EEF"/>
            <w:sz w:val="24"/>
            <w:szCs w:val="24"/>
          </w:rPr>
          <w:t>https://doi.org/10.1038/s41467-023-41514-0</w:t>
        </w:r>
      </w:hyperlink>
      <w:bookmarkEnd w:id="13"/>
      <w:bookmarkEnd w:id="14"/>
    </w:p>
    <w:sectPr w:rsidR="00772736" w:rsidRPr="0087514D">
      <w:headerReference w:type="default" r:id="rId33"/>
      <w:footerReference w:type="default" r:id="rId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488E" w14:textId="77777777" w:rsidR="00D641D1" w:rsidRDefault="00D641D1">
      <w:r>
        <w:separator/>
      </w:r>
    </w:p>
  </w:endnote>
  <w:endnote w:type="continuationSeparator" w:id="0">
    <w:p w14:paraId="6BCDEE6D" w14:textId="77777777" w:rsidR="00D641D1" w:rsidRDefault="00D6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808080" w:themeColor="background1" w:themeShade="80"/>
        <w:sz w:val="21"/>
        <w:szCs w:val="21"/>
      </w:rPr>
      <w:id w:val="-544905568"/>
      <w:docPartObj>
        <w:docPartGallery w:val="AutoText"/>
      </w:docPartObj>
    </w:sdtPr>
    <w:sdtEndPr/>
    <w:sdtContent>
      <w:sdt>
        <w:sdtPr>
          <w:rPr>
            <w:rFonts w:ascii="Times New Roman" w:hAnsi="Times New Roman" w:cs="Times New Roman"/>
            <w:color w:val="808080" w:themeColor="background1" w:themeShade="80"/>
            <w:sz w:val="21"/>
            <w:szCs w:val="21"/>
          </w:rPr>
          <w:id w:val="1728636285"/>
          <w:docPartObj>
            <w:docPartGallery w:val="AutoText"/>
          </w:docPartObj>
        </w:sdtPr>
        <w:sdtEndPr/>
        <w:sdtContent>
          <w:p w14:paraId="2A0EC854" w14:textId="0203C4F3" w:rsidR="00772736" w:rsidRDefault="00D641D1">
            <w:pPr>
              <w:pStyle w:val="a3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zh-CN"/>
              </w:rPr>
              <w:t>S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instrText>PAGE</w:instrTex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zh-CN"/>
              </w:rPr>
              <w:t>2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zh-CN"/>
              </w:rPr>
              <w:t>/S</w:t>
            </w:r>
            <w:r w:rsidR="00AD213E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34503" w14:textId="77777777" w:rsidR="00D641D1" w:rsidRDefault="00D641D1">
      <w:r>
        <w:separator/>
      </w:r>
    </w:p>
  </w:footnote>
  <w:footnote w:type="continuationSeparator" w:id="0">
    <w:p w14:paraId="76BA6957" w14:textId="77777777" w:rsidR="00D641D1" w:rsidRDefault="00D64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27ED" w14:textId="77777777" w:rsidR="00772736" w:rsidRDefault="00D641D1">
    <w:pPr>
      <w:pStyle w:val="a5"/>
      <w:rPr>
        <w:rFonts w:ascii="Times New Roman" w:hAnsi="Times New Roman" w:cs="Times New Roman"/>
        <w:sz w:val="24"/>
        <w:szCs w:val="24"/>
      </w:rPr>
    </w:pPr>
    <w:hyperlink r:id="rId1" w:history="1">
      <w:r w:rsidR="00772736">
        <w:rPr>
          <w:rStyle w:val="ad"/>
          <w:rFonts w:ascii="Times New Roman" w:hAnsi="Times New Roman" w:cs="Times New Roman" w:hint="eastAsia"/>
          <w:sz w:val="24"/>
          <w:szCs w:val="24"/>
        </w:rPr>
        <w:t>N</w:t>
      </w:r>
      <w:r w:rsidR="00772736">
        <w:rPr>
          <w:rStyle w:val="ad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47EA5"/>
    <w:multiLevelType w:val="multilevel"/>
    <w:tmpl w:val="70F47EA5"/>
    <w:lvl w:ilvl="0">
      <w:start w:val="1"/>
      <w:numFmt w:val="decimal"/>
      <w:lvlText w:val="[S%1]"/>
      <w:lvlJc w:val="left"/>
      <w:pPr>
        <w:ind w:left="420" w:hanging="420"/>
      </w:pPr>
      <w:rPr>
        <w:rFonts w:hint="eastAsia"/>
        <w:sz w:val="24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74BD2"/>
    <w:rsid w:val="000923DA"/>
    <w:rsid w:val="001930E4"/>
    <w:rsid w:val="00207BA6"/>
    <w:rsid w:val="00273200"/>
    <w:rsid w:val="003A389A"/>
    <w:rsid w:val="00496C5B"/>
    <w:rsid w:val="0053275C"/>
    <w:rsid w:val="006A6F66"/>
    <w:rsid w:val="00772736"/>
    <w:rsid w:val="00874BD2"/>
    <w:rsid w:val="0087514D"/>
    <w:rsid w:val="009C15FA"/>
    <w:rsid w:val="00AD213E"/>
    <w:rsid w:val="00B569C9"/>
    <w:rsid w:val="00B80167"/>
    <w:rsid w:val="00C23765"/>
    <w:rsid w:val="00D641D1"/>
    <w:rsid w:val="00E4575F"/>
    <w:rsid w:val="00F67A66"/>
    <w:rsid w:val="37C4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925319"/>
  <w15:docId w15:val="{C0CA5A74-0D7F-46D3-8BA6-2F43563A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d">
    <w:name w:val="Hyperlink"/>
    <w:uiPriority w:val="99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  <w14:ligatures w14:val="standardContextual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  <w14:ligatures w14:val="standardContextual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  <w14:ligatures w14:val="standardContextual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  <w14:ligatures w14:val="standardContextual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14:ligatures w14:val="standardContextual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  <w14:ligatures w14:val="standardContextual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rPr>
      <w:i/>
      <w:iCs/>
      <w:color w:val="404040" w:themeColor="text1" w:themeTint="BF"/>
      <w14:ligatures w14:val="standardContextual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rPr>
      <w:i/>
      <w:iCs/>
      <w:color w:val="0F4761" w:themeColor="accent1" w:themeShade="BF"/>
      <w14:ligatures w14:val="standardContextual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qFormat/>
    <w:rPr>
      <w:sz w:val="18"/>
      <w:szCs w:val="18"/>
      <w14:ligatures w14:val="standardContextual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  <w14:ligatures w14:val="standardContextual"/>
    </w:rPr>
  </w:style>
  <w:style w:type="paragraph" w:customStyle="1" w:styleId="BATitle">
    <w:name w:val="BA_Title"/>
    <w:basedOn w:val="a"/>
    <w:next w:val="BBAuthorName"/>
    <w:qFormat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  <w14:ligatures w14:val="none"/>
    </w:rPr>
  </w:style>
  <w:style w:type="paragraph" w:customStyle="1" w:styleId="BBAuthorName">
    <w:name w:val="BB_Author_Name"/>
    <w:basedOn w:val="a"/>
    <w:next w:val="a"/>
    <w:qFormat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  <w14:ligatures w14:val="none"/>
    </w:rPr>
  </w:style>
  <w:style w:type="paragraph" w:customStyle="1" w:styleId="BCAuthorAddress">
    <w:name w:val="BC_Author_Address"/>
    <w:basedOn w:val="a"/>
    <w:next w:val="a"/>
    <w:qFormat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  <w14:ligatures w14:val="none"/>
    </w:rPr>
  </w:style>
  <w:style w:type="paragraph" w:customStyle="1" w:styleId="BIEmailAddress">
    <w:name w:val="BI_Email_Address"/>
    <w:basedOn w:val="a"/>
    <w:next w:val="a"/>
    <w:qFormat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  <w14:ligatures w14:val="none"/>
    </w:rPr>
  </w:style>
  <w:style w:type="paragraph" w:customStyle="1" w:styleId="AuthorsFull">
    <w:name w:val="Authors Full"/>
    <w:basedOn w:val="a"/>
    <w:qFormat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s://doi.org/10.1002/anie.20250605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hyperlink" Target="mailto:zhenhuanlu@glut.edu.c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doi.org/10.1038/s41467-024-45613-4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s://doi.org/10.1038/s41565-025-01983-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doi.org/10.1016/j.cej.2023.143084" TargetMode="External"/><Relationship Id="rId32" Type="http://schemas.openxmlformats.org/officeDocument/2006/relationships/hyperlink" Target="https://doi.org/10.1038/s41467-023-41514-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s://doi.org/10.1016/j.chempr.2022.12.005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hyperlink" Target="https://doi.org/10.1007/s12274-023-6275-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.wu1@siat.ac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https://doi.org/10.1016/j.ensm.2023.103067" TargetMode="External"/><Relationship Id="rId30" Type="http://schemas.openxmlformats.org/officeDocument/2006/relationships/hyperlink" Target="https://doi.org/10.1002/adma.202005305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wangj9@sustech.edu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1236</Words>
  <Characters>7049</Characters>
  <Application>Microsoft Office Word</Application>
  <DocSecurity>0</DocSecurity>
  <Lines>58</Lines>
  <Paragraphs>16</Paragraphs>
  <ScaleCrop>false</ScaleCrop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唯 吴</dc:creator>
  <cp:lastModifiedBy>rhe</cp:lastModifiedBy>
  <cp:revision>3</cp:revision>
  <dcterms:created xsi:type="dcterms:W3CDTF">2026-07-30T01:10:00Z</dcterms:created>
  <dcterms:modified xsi:type="dcterms:W3CDTF">2026-07-30T01:21:00Z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eyJoZGlkIjoiMDE4OTBmNWI0ODQ5Y2Q0NzYzYzRmOWQ3N2I1NDcyMDAiLCJ1c2VySWQiOiI0ODY1NzM5NjcifQ==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BCD876B6F0614F45BEBA50A1B24B7B4C_13</vt:lpwstr>
  </property>
</Properties>
</file>